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0" w:name="_GoBack"/>
      <w:bookmarkEnd w:id="0"/>
    </w:p>
    <w:p w:rsidR="00BA7631" w:rsidRDefault="00BA7631">
      <w:pPr>
        <w:widowControl w:val="0"/>
        <w:autoSpaceDE w:val="0"/>
        <w:autoSpaceDN w:val="0"/>
        <w:adjustRightInd w:val="0"/>
        <w:spacing w:after="0" w:line="240" w:lineRule="auto"/>
        <w:rPr>
          <w:rFonts w:ascii="Arial" w:hAnsi="Arial" w:cs="Arial"/>
          <w:sz w:val="24"/>
          <w:szCs w:val="24"/>
        </w:rPr>
        <w:sectPr w:rsidR="00BA7631">
          <w:headerReference w:type="default" r:id="rId6"/>
          <w:footerReference w:type="default" r:id="rId7"/>
          <w:pgSz w:w="12240" w:h="15840"/>
          <w:pgMar w:top="1080" w:right="1080" w:bottom="1080" w:left="1080" w:header="720" w:footer="720" w:gutter="0"/>
          <w:cols w:space="720"/>
          <w:noEndnote/>
        </w:sectPr>
      </w:pP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bookmarkStart w:id="1" w:name="co_document_1"/>
      <w:bookmarkStart w:id="2" w:name="I17f4cfb149c011dba16d88fb847e95e5_Target"/>
      <w:bookmarkEnd w:id="1"/>
      <w:bookmarkEnd w:id="2"/>
    </w:p>
    <w:p w:rsidR="00BA7631" w:rsidRDefault="00CA2116">
      <w:pPr>
        <w:widowControl w:val="0"/>
        <w:autoSpaceDE w:val="0"/>
        <w:autoSpaceDN w:val="0"/>
        <w:adjustRightInd w:val="0"/>
        <w:spacing w:after="0" w:line="240" w:lineRule="auto"/>
        <w:jc w:val="center"/>
        <w:rPr>
          <w:rFonts w:ascii="Georgia" w:hAnsi="Georgia" w:cs="Georgia"/>
          <w:color w:val="000000"/>
          <w:sz w:val="20"/>
          <w:szCs w:val="20"/>
        </w:rPr>
      </w:pPr>
      <w:r>
        <w:rPr>
          <w:rFonts w:ascii="Georgia" w:hAnsi="Georgia" w:cs="Georgia"/>
          <w:color w:val="000000"/>
          <w:sz w:val="20"/>
          <w:szCs w:val="20"/>
        </w:rPr>
        <w:t>46 Food Drug Cosm. L.J. 553</w:t>
      </w:r>
    </w:p>
    <w:p w:rsidR="00BA7631" w:rsidRDefault="00CA2116">
      <w:pPr>
        <w:widowControl w:val="0"/>
        <w:autoSpaceDE w:val="0"/>
        <w:autoSpaceDN w:val="0"/>
        <w:adjustRightInd w:val="0"/>
        <w:spacing w:before="400"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Food Drug Cosmetic Law Journal</w:t>
      </w:r>
    </w:p>
    <w:p w:rsidR="00BA7631" w:rsidRDefault="00CA2116">
      <w:pPr>
        <w:widowControl w:val="0"/>
        <w:autoSpaceDE w:val="0"/>
        <w:autoSpaceDN w:val="0"/>
        <w:adjustRightInd w:val="0"/>
        <w:spacing w:after="0" w:line="240" w:lineRule="auto"/>
        <w:jc w:val="center"/>
        <w:rPr>
          <w:rFonts w:ascii="Georgia" w:hAnsi="Georgia" w:cs="Georgia"/>
          <w:color w:val="000000"/>
          <w:sz w:val="20"/>
          <w:szCs w:val="20"/>
        </w:rPr>
      </w:pPr>
      <w:r>
        <w:rPr>
          <w:rFonts w:ascii="Georgia" w:hAnsi="Georgia" w:cs="Georgia"/>
          <w:color w:val="000000"/>
          <w:sz w:val="20"/>
          <w:szCs w:val="20"/>
        </w:rPr>
        <w:t>September, 1991</w:t>
      </w:r>
    </w:p>
    <w:p w:rsidR="00BA7631" w:rsidRDefault="00CA2116">
      <w:pPr>
        <w:widowControl w:val="0"/>
        <w:autoSpaceDE w:val="0"/>
        <w:autoSpaceDN w:val="0"/>
        <w:adjustRightInd w:val="0"/>
        <w:spacing w:before="200" w:line="240" w:lineRule="auto"/>
        <w:ind w:left="100" w:right="100"/>
        <w:jc w:val="center"/>
        <w:rPr>
          <w:rFonts w:ascii="Georgia" w:hAnsi="Georgia" w:cs="Georgia"/>
          <w:color w:val="252525"/>
          <w:sz w:val="20"/>
          <w:szCs w:val="20"/>
        </w:rPr>
      </w:pPr>
      <w:r>
        <w:rPr>
          <w:rFonts w:ascii="Georgia" w:hAnsi="Georgia" w:cs="Georgia"/>
          <w:color w:val="252525"/>
          <w:sz w:val="20"/>
          <w:szCs w:val="20"/>
        </w:rPr>
        <w:t>RETHINKING THE APPLICABILITY AND USEFULNESS OF THE GRAS CONCEPT</w:t>
      </w:r>
    </w:p>
    <w:p w:rsidR="00BA7631" w:rsidRDefault="00A625DB">
      <w:pPr>
        <w:widowControl w:val="0"/>
        <w:autoSpaceDE w:val="0"/>
        <w:autoSpaceDN w:val="0"/>
        <w:adjustRightInd w:val="0"/>
        <w:spacing w:after="0" w:line="240" w:lineRule="auto"/>
        <w:jc w:val="center"/>
        <w:rPr>
          <w:rFonts w:ascii="Times New Roman" w:hAnsi="Times New Roman" w:cs="Times New Roman"/>
          <w:color w:val="000000"/>
          <w:sz w:val="16"/>
          <w:szCs w:val="16"/>
        </w:rPr>
      </w:pPr>
      <w:hyperlink r:id="rId8" w:history="1">
        <w:r w:rsidR="00CA2116">
          <w:rPr>
            <w:rFonts w:ascii="Times New Roman" w:hAnsi="Times New Roman" w:cs="Times New Roman"/>
            <w:color w:val="0000FF"/>
            <w:sz w:val="20"/>
            <w:szCs w:val="20"/>
          </w:rPr>
          <w:t>Frederick H. Degnan</w:t>
        </w:r>
      </w:hyperlink>
      <w:bookmarkStart w:id="3" w:name="co_footnoteReference_Fa101952054_ID0ENPA"/>
      <w:bookmarkEnd w:id="3"/>
      <w:r w:rsidR="00CA2116">
        <w:rPr>
          <w:rFonts w:ascii="Times New Roman" w:hAnsi="Times New Roman" w:cs="Times New Roman"/>
          <w:color w:val="000000"/>
          <w:sz w:val="16"/>
          <w:szCs w:val="16"/>
        </w:rPr>
        <w:fldChar w:fldCharType="begin"/>
      </w:r>
      <w:r w:rsidR="00CA2116">
        <w:rPr>
          <w:rFonts w:ascii="Times New Roman" w:hAnsi="Times New Roman" w:cs="Times New Roman"/>
          <w:color w:val="000000"/>
          <w:sz w:val="16"/>
          <w:szCs w:val="16"/>
        </w:rPr>
        <w:instrText xml:space="preserve">HYPERLINK "#co_footnote_Fa101952054_1" </w:instrText>
      </w:r>
      <w:r w:rsidR="00CA2116">
        <w:rPr>
          <w:rFonts w:ascii="Times New Roman" w:hAnsi="Times New Roman" w:cs="Times New Roman"/>
          <w:color w:val="000000"/>
          <w:sz w:val="16"/>
          <w:szCs w:val="16"/>
        </w:rPr>
        <w:fldChar w:fldCharType="separate"/>
      </w:r>
      <w:r w:rsidR="00CA2116">
        <w:rPr>
          <w:rFonts w:ascii="Times New Roman" w:hAnsi="Times New Roman" w:cs="Times New Roman"/>
          <w:color w:val="0000FF"/>
          <w:sz w:val="16"/>
          <w:szCs w:val="16"/>
          <w:vertAlign w:val="superscript"/>
        </w:rPr>
        <w:t>a</w:t>
      </w:r>
      <w:r w:rsidR="00CA2116">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before="60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Copyright (c) 1991 by </w:t>
      </w:r>
      <w:proofErr w:type="gramStart"/>
      <w:r>
        <w:rPr>
          <w:rFonts w:ascii="Times New Roman" w:hAnsi="Times New Roman" w:cs="Times New Roman"/>
          <w:color w:val="000000"/>
          <w:sz w:val="20"/>
          <w:szCs w:val="20"/>
        </w:rPr>
        <w:t>The</w:t>
      </w:r>
      <w:proofErr w:type="gramEnd"/>
      <w:r>
        <w:rPr>
          <w:rFonts w:ascii="Times New Roman" w:hAnsi="Times New Roman" w:cs="Times New Roman"/>
          <w:color w:val="000000"/>
          <w:sz w:val="20"/>
          <w:szCs w:val="20"/>
        </w:rPr>
        <w:t xml:space="preserve"> Food &amp; Drug Law Institute; Frederick H. Degnan</w:t>
      </w:r>
    </w:p>
    <w:p w:rsidR="00BA7631" w:rsidRDefault="00CA2116">
      <w:pPr>
        <w:widowControl w:val="0"/>
        <w:autoSpaceDE w:val="0"/>
        <w:autoSpaceDN w:val="0"/>
        <w:adjustRightInd w:val="0"/>
        <w:spacing w:before="200" w:line="240" w:lineRule="auto"/>
        <w:jc w:val="center"/>
        <w:rPr>
          <w:rFonts w:ascii="Times New Roman" w:hAnsi="Times New Roman" w:cs="Times New Roman"/>
          <w:b/>
          <w:bCs/>
          <w:color w:val="000000"/>
          <w:sz w:val="20"/>
          <w:szCs w:val="20"/>
        </w:rPr>
      </w:pPr>
      <w:bookmarkStart w:id="4" w:name="co_g_ID0EDAAE_1"/>
      <w:bookmarkEnd w:id="4"/>
      <w:r>
        <w:rPr>
          <w:rFonts w:ascii="Times New Roman" w:hAnsi="Times New Roman" w:cs="Times New Roman"/>
          <w:b/>
          <w:bCs/>
          <w:color w:val="000000"/>
          <w:sz w:val="20"/>
          <w:szCs w:val="20"/>
        </w:rPr>
        <w:t>I. INTRODUCTION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5" w:name="co_g_ID0ENAAE_1"/>
      <w:bookmarkEnd w:id="5"/>
      <w:r>
        <w:rPr>
          <w:rFonts w:ascii="Times New Roman" w:hAnsi="Times New Roman" w:cs="Times New Roman"/>
          <w:color w:val="000000"/>
          <w:sz w:val="20"/>
          <w:szCs w:val="20"/>
        </w:rPr>
        <w:t>The Food Additives Amendment of 1958 (FAA</w:t>
      </w:r>
      <w:proofErr w:type="gramStart"/>
      <w:r>
        <w:rPr>
          <w:rFonts w:ascii="Times New Roman" w:hAnsi="Times New Roman" w:cs="Times New Roman"/>
          <w:color w:val="000000"/>
          <w:sz w:val="20"/>
          <w:szCs w:val="20"/>
        </w:rPr>
        <w:t>)</w:t>
      </w:r>
      <w:bookmarkStart w:id="6" w:name="co_footnoteReference_F1101952054_ID0ETAA"/>
      <w:bookmarkEnd w:id="6"/>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was a necessary measure designed to ensure the safety of food ingredients and to promote public confidence in the processed food supply. Congress decided that a number of substances were already so well recognized as safe that they had become generally accepted constituents of the food supply. Consequently, in a display of practical judgment, Congress excluded substances “generally recognized ... as having been adequately shown ... to be safe” </w:t>
      </w:r>
      <w:proofErr w:type="gramStart"/>
      <w:r>
        <w:rPr>
          <w:rFonts w:ascii="Times New Roman" w:hAnsi="Times New Roman" w:cs="Times New Roman"/>
          <w:color w:val="000000"/>
          <w:sz w:val="20"/>
          <w:szCs w:val="20"/>
        </w:rPr>
        <w:t>from</w:t>
      </w:r>
      <w:proofErr w:type="gramEnd"/>
      <w:r>
        <w:rPr>
          <w:rFonts w:ascii="Times New Roman" w:hAnsi="Times New Roman" w:cs="Times New Roman"/>
          <w:color w:val="000000"/>
          <w:sz w:val="20"/>
          <w:szCs w:val="20"/>
        </w:rPr>
        <w:t xml:space="preserve"> the definition of “food additive” and, accordingly, from the requirements imposed by the Amendment on such additives.</w:t>
      </w:r>
      <w:bookmarkStart w:id="7" w:name="co_footnoteReference_F2101952054_ID0EMBA"/>
      <w:bookmarkEnd w:id="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8" w:name="co_g_ID0ETBAE_1"/>
      <w:bookmarkEnd w:id="8"/>
      <w:r>
        <w:rPr>
          <w:rFonts w:ascii="Times New Roman" w:hAnsi="Times New Roman" w:cs="Times New Roman"/>
          <w:color w:val="000000"/>
          <w:sz w:val="20"/>
          <w:szCs w:val="20"/>
        </w:rPr>
        <w:t>Scientific data and studies definitively showing the safety of these substances existed in only a few cases. Nevertheless to have forced these “generally recognized as safe” (GRAS) substances through an approval process would have been wasteful of public and private resources, and potentially disruptive of the food supply. More important uses for those resources existed. Building on this practical exercise of control over the safety of substances, the Food and Drug Administration (FDA) developed an efficient, flexible mechanism for permitting a rational allocation of its resources and for making reasonable regulatory decisions regarding hundreds of substances. In recent years, however, various forces have served to limit the flexibility and usefulness of the GRAS concept. Today, the concept is viewed as a relatively narrow tool for creating exceptions to the general rule that substances added to food must undergo scrutiny as food additives.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9" w:name="co_g_ID0EOCAE_1"/>
      <w:bookmarkEnd w:id="9"/>
      <w:r>
        <w:rPr>
          <w:rFonts w:ascii="Times New Roman" w:hAnsi="Times New Roman" w:cs="Times New Roman"/>
          <w:color w:val="000000"/>
          <w:sz w:val="20"/>
          <w:szCs w:val="20"/>
        </w:rPr>
        <w:t>This article looks primarily at the evolution of the GRAS concept. The purpose of the analysis is to provide a basis for rethinking the current use of the concept in an effort to accommodate new problems and new knowledge. The underlying premise of this article is that the GRAS concept need not be dismissed as an artifact with limited applicability. Rather, at a minimum, the concept holds promise of a nonlegislative mechanism for ensuring that the FAA keeps functioning well into the twenty-first century.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jc w:val="center"/>
        <w:rPr>
          <w:rFonts w:ascii="Times New Roman" w:hAnsi="Times New Roman" w:cs="Times New Roman"/>
          <w:b/>
          <w:bCs/>
          <w:color w:val="000000"/>
          <w:sz w:val="20"/>
          <w:szCs w:val="20"/>
        </w:rPr>
      </w:pPr>
      <w:bookmarkStart w:id="10" w:name="co_g_ID0EDDAE_1"/>
      <w:bookmarkStart w:id="11" w:name="co_pp_sp_1661_554_1"/>
      <w:bookmarkEnd w:id="10"/>
      <w:bookmarkEnd w:id="11"/>
      <w:r>
        <w:rPr>
          <w:rFonts w:ascii="Times New Roman" w:hAnsi="Times New Roman" w:cs="Times New Roman"/>
          <w:b/>
          <w:bCs/>
          <w:color w:val="000000"/>
          <w:sz w:val="20"/>
          <w:szCs w:val="20"/>
        </w:rPr>
        <w:t>*554 II. HISTORY OF THE GRAS CONCEPT AND ITS IMPLEMENTATION</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2" w:name="co_g_ID0ERDAE_1"/>
      <w:bookmarkEnd w:id="12"/>
      <w:r>
        <w:rPr>
          <w:rFonts w:ascii="Times New Roman" w:hAnsi="Times New Roman" w:cs="Times New Roman"/>
          <w:b/>
          <w:bCs/>
          <w:color w:val="000000"/>
          <w:sz w:val="20"/>
          <w:szCs w:val="20"/>
        </w:rPr>
        <w:t>A. The Need for New Legislation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3" w:name="co_g_ID0E2DAE_1"/>
      <w:bookmarkEnd w:id="13"/>
      <w:r>
        <w:rPr>
          <w:rFonts w:ascii="Times New Roman" w:hAnsi="Times New Roman" w:cs="Times New Roman"/>
          <w:color w:val="000000"/>
          <w:sz w:val="20"/>
          <w:szCs w:val="20"/>
        </w:rPr>
        <w:t>In 1950, 1951, and 1952, Congressman James J. Delaney chaired a House select committee investigating the use of chemicals in foods and cosmetics. After extended hearings, the committee filed a report on June 30, 1952, urging that the then-existing law be amended to provide that chemicals used in or on food be subject to essentially the same safety requirements as those for new drugs.</w:t>
      </w:r>
      <w:bookmarkStart w:id="14" w:name="co_footnoteReference_F3101952054_ID0EGEA"/>
      <w:bookmarkEnd w:id="1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According to the report, approximately 840 chemicals were thought to be used in food in the early 1950s. Of this total, only about 420 were considered to be safe.</w:t>
      </w:r>
      <w:bookmarkStart w:id="15" w:name="co_footnoteReference_F4101952054_ID0ENEA"/>
      <w:bookmarkEnd w:id="1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6" w:name="co_g_ID0EUEAE_1"/>
      <w:bookmarkEnd w:id="16"/>
      <w:r>
        <w:rPr>
          <w:rFonts w:ascii="Times New Roman" w:hAnsi="Times New Roman" w:cs="Times New Roman"/>
          <w:color w:val="000000"/>
          <w:sz w:val="20"/>
          <w:szCs w:val="20"/>
        </w:rPr>
        <w:t>As a result of the Delaney Committee investigations, it was apparent that the food supply contained an increasingly wide array of chemical additives, the safety of which was not clearly established. Moreover, it was also apparent that the provisions of the 1938 Federal Food, Drug, and Cosmetic Act</w:t>
      </w:r>
      <w:bookmarkStart w:id="17" w:name="co_footnoteReference_F5101952054_ID0E4EA"/>
      <w:bookmarkEnd w:id="1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did not provide an efficient mechanism for ensuring the safe use of such additives in food.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8" w:name="co_g_ID0EGFAE_1"/>
      <w:bookmarkEnd w:id="18"/>
      <w:r>
        <w:rPr>
          <w:rFonts w:ascii="Times New Roman" w:hAnsi="Times New Roman" w:cs="Times New Roman"/>
          <w:color w:val="000000"/>
          <w:sz w:val="20"/>
          <w:szCs w:val="20"/>
        </w:rPr>
        <w:t xml:space="preserve">Although the 1938 Act included a preclearance provision for new drugs, no similar provision existed for additives in food. </w:t>
      </w:r>
      <w:r>
        <w:rPr>
          <w:rFonts w:ascii="Times New Roman" w:hAnsi="Times New Roman" w:cs="Times New Roman"/>
          <w:color w:val="000000"/>
          <w:sz w:val="20"/>
          <w:szCs w:val="20"/>
        </w:rPr>
        <w:lastRenderedPageBreak/>
        <w:t>Thus, the FDA had no way of ensuring that chemicals used in food were safe before the chemicals were actually added to food and people were exposed to them. In order to take action against a product containing a chemical of questionable safety, the FDA typically had to prove under section 402 of the Act that the chemical was toxic and that its presence in food might be injurious to health.</w:t>
      </w:r>
      <w:bookmarkStart w:id="19" w:name="co_footnoteReference_F6101952054_ID0EUFA"/>
      <w:bookmarkEnd w:id="1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More often than not, making these showings required testing. This, in turn, created a slow, relatively unresponsive regulatory system.</w:t>
      </w:r>
      <w:bookmarkStart w:id="20" w:name="co_footnoteReference_F7101952054_ID0E2FA"/>
      <w:bookmarkEnd w:id="2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1" w:name="co_g_ID0ECGAE_1"/>
      <w:bookmarkEnd w:id="21"/>
      <w:r>
        <w:rPr>
          <w:rFonts w:ascii="Times New Roman" w:hAnsi="Times New Roman" w:cs="Times New Roman"/>
          <w:color w:val="000000"/>
          <w:sz w:val="20"/>
          <w:szCs w:val="20"/>
        </w:rPr>
        <w:t>Regulation of added ingredients under the 1938 Act also created problems for manufacturers. Although toxic at high levels, many chemicals added to food could be safely used at low levels. Section 406 of the Act, however, deemed use of such a chemical unlawful unless it could be shown that the chemical was “required” in the production of the food or could not be “avoided.”</w:t>
      </w:r>
      <w:bookmarkStart w:id="22" w:name="co_footnoteReference_F8101952054_ID0EQGA"/>
      <w:bookmarkEnd w:id="2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Thus, certain additives that manufacturers desired to use in food could be prohibited from use even at levels acknowledged to be safe.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3" w:name="co_g_ID0EZGAE_1"/>
      <w:bookmarkEnd w:id="23"/>
      <w:r>
        <w:rPr>
          <w:rFonts w:ascii="Times New Roman" w:hAnsi="Times New Roman" w:cs="Times New Roman"/>
          <w:color w:val="000000"/>
          <w:sz w:val="20"/>
          <w:szCs w:val="20"/>
        </w:rPr>
        <w:t xml:space="preserve">By 1958, there was general agreement among industry, government, and Congress that some more workable, specific mechanism for regulating </w:t>
      </w:r>
      <w:bookmarkStart w:id="24" w:name="co_pp_sp_1661_555_1"/>
      <w:bookmarkEnd w:id="24"/>
      <w:r>
        <w:rPr>
          <w:rFonts w:ascii="Times New Roman" w:hAnsi="Times New Roman" w:cs="Times New Roman"/>
          <w:b/>
          <w:bCs/>
          <w:color w:val="000000"/>
          <w:sz w:val="20"/>
          <w:szCs w:val="20"/>
        </w:rPr>
        <w:t>*555</w:t>
      </w:r>
      <w:r>
        <w:rPr>
          <w:rFonts w:ascii="Times New Roman" w:hAnsi="Times New Roman" w:cs="Times New Roman"/>
          <w:color w:val="000000"/>
          <w:sz w:val="20"/>
          <w:szCs w:val="20"/>
        </w:rPr>
        <w:t xml:space="preserve"> the safety of chemicals added to food was necessary. The result was the FAA. The objectives of the FAA were (1) safety—“to protect the health of consumers” by requiring manufacturers of food additives to “pretest any potentially unsafe substances added to food”—and (2) innovation—“to advance food technology by permitting the use of food additives at safe levels.”</w:t>
      </w:r>
      <w:bookmarkStart w:id="25" w:name="co_footnoteReference_F9101952054_ID0EGIA"/>
      <w:bookmarkEnd w:id="2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6" w:name="co_g_ID0ENIAE_1"/>
      <w:bookmarkEnd w:id="26"/>
      <w:r>
        <w:rPr>
          <w:rFonts w:ascii="Times New Roman" w:hAnsi="Times New Roman" w:cs="Times New Roman"/>
          <w:color w:val="000000"/>
          <w:sz w:val="20"/>
          <w:szCs w:val="20"/>
        </w:rPr>
        <w:t>The FAA’s dual goals of safety and innovation were to be achieved in part through a system of premarket approval that subjected substances satisfying the statutory definition of “food additive” to a rigorous, but practical and non-absolute safety standard. Congress did not define “safety” in the statute, but explained in legislative history that the manufacturer’s burden to prove safety would be met upon presentation of evidence establishing to the FDA’s satisfaction a “reasonable certainty” that “no harm” would result from the intended use of the additive.</w:t>
      </w:r>
      <w:bookmarkStart w:id="27" w:name="co_footnoteReference_F10101952054_ID0EYI"/>
      <w:bookmarkEnd w:id="2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Congress expressly acknowledged that safety is dose-dependent (i.e., that substances toxic at high doses might be safe at low doses) and that proof of absolute safety under all circumstances is a scientific impossibility.</w:t>
      </w:r>
      <w:bookmarkStart w:id="28" w:name="co_footnoteReference_F11101952054_ID0E4I"/>
      <w:bookmarkEnd w:id="2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short, Congress sought to ensure safety and advance food technology by permitting the reasonable exercise of sound scientific judgment concerning the safety of food ingredients.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9" w:name="co_g_ID0EGJAE_1"/>
      <w:bookmarkEnd w:id="29"/>
      <w:r>
        <w:rPr>
          <w:rFonts w:ascii="Times New Roman" w:hAnsi="Times New Roman" w:cs="Times New Roman"/>
          <w:color w:val="000000"/>
          <w:sz w:val="20"/>
          <w:szCs w:val="20"/>
        </w:rPr>
        <w:t>Congress also sought to balance safety with the practical needs of not disrupting the food supply, and wisely allocating scientific and regulatory resources. Balance was achieved through the definition of the term “food additive.”</w:t>
      </w:r>
      <w:bookmarkStart w:id="30" w:name="co_footnoteReference_F12101952054_ID0ERJ"/>
      <w:bookmarkEnd w:id="3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By excluding from the definition, and thus from the premarket approval scheme, generally recognized as safe substances and prior-sanctioned substances, Congress revealed its willingness to accept </w:t>
      </w:r>
      <w:bookmarkStart w:id="31" w:name="co_pp_sp_1661_556_1"/>
      <w:bookmarkEnd w:id="31"/>
      <w:r>
        <w:rPr>
          <w:rFonts w:ascii="Times New Roman" w:hAnsi="Times New Roman" w:cs="Times New Roman"/>
          <w:b/>
          <w:bCs/>
          <w:color w:val="000000"/>
          <w:sz w:val="20"/>
          <w:szCs w:val="20"/>
        </w:rPr>
        <w:t>*556</w:t>
      </w:r>
      <w:r>
        <w:rPr>
          <w:rFonts w:ascii="Times New Roman" w:hAnsi="Times New Roman" w:cs="Times New Roman"/>
          <w:color w:val="000000"/>
          <w:sz w:val="20"/>
          <w:szCs w:val="20"/>
        </w:rPr>
        <w:t xml:space="preserve"> means for ensuring the safety of food ingredients other than formal premarket approval by the FDA.</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32" w:name="co_g_ID0E6JAE_1"/>
      <w:bookmarkEnd w:id="32"/>
      <w:r>
        <w:rPr>
          <w:rFonts w:ascii="Times New Roman" w:hAnsi="Times New Roman" w:cs="Times New Roman"/>
          <w:b/>
          <w:bCs/>
          <w:color w:val="000000"/>
          <w:sz w:val="20"/>
          <w:szCs w:val="20"/>
        </w:rPr>
        <w:t>B. The Legislative History of the GRAS Component of the Food Additive Definition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33" w:name="co_g_ID0EJKAE_1"/>
      <w:bookmarkEnd w:id="33"/>
      <w:r>
        <w:rPr>
          <w:rFonts w:ascii="Times New Roman" w:hAnsi="Times New Roman" w:cs="Times New Roman"/>
          <w:color w:val="000000"/>
          <w:sz w:val="20"/>
          <w:szCs w:val="20"/>
        </w:rPr>
        <w:t>In the sessions of Congress following the report of the Delaney Committee, at least nineteen bills were introduced in an effort to establish a new system for ensuring the safety of food ingredients.</w:t>
      </w:r>
      <w:bookmarkStart w:id="34" w:name="co_footnoteReference_F13101952054_ID0ERK"/>
      <w:bookmarkEnd w:id="3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Common problems confronted in the drafting of the bills included dealing with chemical substances already in use as food ingredients and defining the class of substances to be regulated.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35" w:name="co_g_ID0E1KAE_1"/>
      <w:bookmarkEnd w:id="35"/>
      <w:r>
        <w:rPr>
          <w:rFonts w:ascii="Times New Roman" w:hAnsi="Times New Roman" w:cs="Times New Roman"/>
          <w:color w:val="000000"/>
          <w:sz w:val="20"/>
          <w:szCs w:val="20"/>
        </w:rPr>
        <w:t>Early on, the members of the House subcommittee responsible for the legislation agreed that no bill could contain a blanket grandfather clause exempting substances already used in food.</w:t>
      </w:r>
      <w:bookmarkStart w:id="36" w:name="co_footnoteReference_F14101952054_ID0ECL"/>
      <w:bookmarkEnd w:id="3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However, the subcommittee members also knew that many common food ingredients, although never scientifically tested, had been used so long without evidence of health hazards that to require exhaustive laboratory analysis and pretesting would serve no useful purpose, and would work against one of the purposes of the desired legislation—the advancement of food technology.</w:t>
      </w:r>
      <w:bookmarkStart w:id="37" w:name="co_footnoteReference_F15101952054_ID0EGL"/>
      <w:bookmarkEnd w:id="3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15</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38" w:name="co_g_ID0ENLAE_1"/>
      <w:bookmarkEnd w:id="38"/>
      <w:r>
        <w:rPr>
          <w:rFonts w:ascii="Times New Roman" w:hAnsi="Times New Roman" w:cs="Times New Roman"/>
          <w:color w:val="000000"/>
          <w:sz w:val="20"/>
          <w:szCs w:val="20"/>
        </w:rPr>
        <w:t>A flexible definition of “food additive” was thus needed. Borrowing from the “new drug” definition enacted in 1938, most of the bills submitted during the eighty-fourth and eighty-fifth Congresses used a formulation of the “generally recognized as safe” standard for defining a food additive.</w:t>
      </w:r>
      <w:bookmarkStart w:id="39" w:name="co_footnoteReference_F16101952054_ID0EYL"/>
      <w:bookmarkEnd w:id="3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16</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For example, H.R. 4475</w:t>
      </w:r>
      <w:proofErr w:type="gramStart"/>
      <w:r>
        <w:rPr>
          <w:rFonts w:ascii="Times New Roman" w:hAnsi="Times New Roman" w:cs="Times New Roman"/>
          <w:color w:val="000000"/>
          <w:sz w:val="20"/>
          <w:szCs w:val="20"/>
        </w:rPr>
        <w:t>,</w:t>
      </w:r>
      <w:bookmarkStart w:id="40" w:name="co_footnoteReference_F17101952054_ID0E2L"/>
      <w:bookmarkEnd w:id="40"/>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defined a chemical additive as “any substance ... which ... is intended for use ... as a food or ... to preserve or alter any food ... or for any other purpose in producing food ... if such use is likely to result in the contamination of food ... and </w:t>
      </w:r>
      <w:bookmarkStart w:id="41" w:name="co_pp_sp_1661_557_1"/>
      <w:bookmarkEnd w:id="41"/>
      <w:r>
        <w:rPr>
          <w:rFonts w:ascii="Times New Roman" w:hAnsi="Times New Roman" w:cs="Times New Roman"/>
          <w:b/>
          <w:bCs/>
          <w:color w:val="000000"/>
          <w:sz w:val="20"/>
          <w:szCs w:val="20"/>
        </w:rPr>
        <w:t>*557</w:t>
      </w:r>
      <w:r>
        <w:rPr>
          <w:rFonts w:ascii="Times New Roman" w:hAnsi="Times New Roman" w:cs="Times New Roman"/>
          <w:color w:val="000000"/>
          <w:sz w:val="20"/>
          <w:szCs w:val="20"/>
        </w:rPr>
        <w:t xml:space="preserve"> ... is not generally recognized among experts ... as having been adequately tested....” Similarly, H.R. 7605,</w:t>
      </w:r>
      <w:bookmarkStart w:id="42" w:name="co_footnoteReference_F18101952054_ID0EMN"/>
      <w:bookmarkEnd w:id="4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defined food additive as “any substance, both used or intended to be used, to preserve or alter any food or for any other purpose in manufacturing ... food which is not generally recognized among experts ... as having been adequately shown through prolonged use in or on food or through scientific procedures to be safe....”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43" w:name="co_g_ID0EIOAE_1"/>
      <w:bookmarkEnd w:id="43"/>
      <w:r>
        <w:rPr>
          <w:rFonts w:ascii="Times New Roman" w:hAnsi="Times New Roman" w:cs="Times New Roman"/>
          <w:color w:val="000000"/>
          <w:sz w:val="20"/>
          <w:szCs w:val="20"/>
        </w:rPr>
        <w:t>The use of the relatively unspecific “generally recognized” formulation was bothersome to some. The following colloquy between Martin Dies, a Texas Congressman, and the FDA Commissioner, George P. Larrick, typifies the prevailing concern over the use of the terminology: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MR. DIES. Mr. Larrick, the thing that troubles me about this bill is the standard here, the very beginning where you say that the term “new food additive” means any substance used or intended to be used for any purpose in the manufacture, packing, processing, preparation, or other fabrication of any food, or in the packaging, transporting, which is not generally recognized among experts qualified by scientific training and experience.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I think that is so vague and indefinite and general that it puts the manufacturer, the processor, in a very bad situation....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MR. LARRICK. Congressman, I do not differ with you at all. If we could get more precise language, it would be highly desirable, but what we did was to just go on our experience....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MR. DIES. Has that ever been interpreted, construed by the courts, that language?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MR. LARRICK. No, sir.</w:t>
      </w:r>
      <w:bookmarkStart w:id="44" w:name="co_footnoteReference_F19101952054_ID0EZQ"/>
      <w:bookmarkEnd w:id="4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19</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45" w:name="co_g_ID0EDRAE_1"/>
      <w:bookmarkEnd w:id="45"/>
      <w:r>
        <w:rPr>
          <w:rFonts w:ascii="Times New Roman" w:hAnsi="Times New Roman" w:cs="Times New Roman"/>
          <w:color w:val="000000"/>
          <w:sz w:val="20"/>
          <w:szCs w:val="20"/>
        </w:rPr>
        <w:t>Testifying before the subcommittee, Charles Wesley Dunn (appearing on behalf of the Grocery Manufacturers of America) also picked up on this theme and stated that the “generally recognized clause is copied from the new drug law ... [and] is patently ambiguous and actually difficult (if not impossible) to accurately interpret in the absence of its judicial construction; and the drug industry doesn’t know its precise meaning in the new drug law enacted nearly twenty years ago.”</w:t>
      </w:r>
      <w:bookmarkStart w:id="46" w:name="co_footnoteReference_F20101952054_ID0EXR"/>
      <w:bookmarkEnd w:id="4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Mr. Dunn strongly recommended that the subcommittee clarify the meaning of the terms.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47" w:name="co_g_ID0EASAE_1"/>
      <w:bookmarkEnd w:id="47"/>
      <w:r>
        <w:rPr>
          <w:rFonts w:ascii="Times New Roman" w:hAnsi="Times New Roman" w:cs="Times New Roman"/>
          <w:color w:val="000000"/>
          <w:sz w:val="20"/>
          <w:szCs w:val="20"/>
        </w:rPr>
        <w:t xml:space="preserve">John A. Gosnell of the Adhesives Manufacturers Association of America was even more to the point: “Our problem lies in the words ‘generally recognized.’ These gems of ambiguity were used in connection with new drugs.... As used in connection with new drugs these words </w:t>
      </w:r>
      <w:bookmarkStart w:id="48" w:name="co_pp_sp_1661_558_1"/>
      <w:bookmarkEnd w:id="48"/>
      <w:r>
        <w:rPr>
          <w:rFonts w:ascii="Times New Roman" w:hAnsi="Times New Roman" w:cs="Times New Roman"/>
          <w:b/>
          <w:bCs/>
          <w:color w:val="000000"/>
          <w:sz w:val="20"/>
          <w:szCs w:val="20"/>
        </w:rPr>
        <w:t>*558</w:t>
      </w:r>
      <w:r>
        <w:rPr>
          <w:rFonts w:ascii="Times New Roman" w:hAnsi="Times New Roman" w:cs="Times New Roman"/>
          <w:color w:val="000000"/>
          <w:sz w:val="20"/>
          <w:szCs w:val="20"/>
        </w:rPr>
        <w:t xml:space="preserve"> may have special meaning, but as proposed in the pending bills they present some grave questions.”</w:t>
      </w:r>
      <w:bookmarkStart w:id="49" w:name="co_footnoteReference_F21101952054_ID0E4S"/>
      <w:bookmarkEnd w:id="4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21</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50" w:name="co_g_ID0EETAE_1"/>
      <w:bookmarkEnd w:id="50"/>
      <w:r>
        <w:rPr>
          <w:rFonts w:ascii="Times New Roman" w:hAnsi="Times New Roman" w:cs="Times New Roman"/>
          <w:color w:val="000000"/>
          <w:sz w:val="20"/>
          <w:szCs w:val="20"/>
        </w:rPr>
        <w:t>Numerous other witnesses shared these concerns.</w:t>
      </w:r>
      <w:bookmarkStart w:id="51" w:name="co_footnoteReference_F22101952054_ID0EMT"/>
      <w:bookmarkEnd w:id="5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basis for the fear arising from the vague language was explained by Mr. Dunn at a subsequent hearing:</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The food additive definition under review is principally obscure, because of its governing “generally recognized” clause to which I have previously referred. For that clause literally makes this proposed testing amendment regulate every deliberate food additive, except as provided, which is not generally recognized by qualified scientific experts as safe for use under the conditions of its intended use.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But at best it may be difficult and, in fact, it may be impossible for a regulated additive or food manufacturer always to learn whether a new food additive, for example, is generally recognized by such experts as safe for use under these conditions, especially where they are new; and the definition does not say how general this recognition must be.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The manufacturer may and should practically consult the available scientific literature in point and he may and should also consult available scientific experts, who are qualified in the circumstances to advise him—which is reasonably enough to accomplish the protective purpose of this amendment.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Hence, we suggest that the committee study the question whether such definition should not be soundly and fairly revised with respect to this generally recognized clause. We have reluctantly omitted that revision from the annexed suggested revision of this definition, because the new drug and pesticide chemical laws of the FDC Act each contain a similar “generally recognized” clause in their analogous definitions. And also because these laws have been practically successful, notwithstanding the obscurity of this clause, and because it has been given a reasonable construction of necessity.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But Congress is now originally reviewing the merit of this clause in a new food-additive amendment of this act, and the regulated food-additive and food-manufacturing industries have the right to question its manifest unreasonable obscurity.</w:t>
      </w:r>
      <w:bookmarkStart w:id="52" w:name="co_footnoteReference_F23101952054_ID0ENV"/>
      <w:bookmarkEnd w:id="5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23</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53" w:name="co_g_ID0EXVAE_1"/>
      <w:bookmarkEnd w:id="53"/>
      <w:r>
        <w:rPr>
          <w:rFonts w:ascii="Times New Roman" w:hAnsi="Times New Roman" w:cs="Times New Roman"/>
          <w:color w:val="000000"/>
          <w:sz w:val="20"/>
          <w:szCs w:val="20"/>
        </w:rPr>
        <w:t xml:space="preserve">In the face of such criticism and concern, William W. Goodrich, Assistant General Counsel for Food and Drugs, Department of Health, Education and Welfare, underscored the agency’s view that “the generally recognized </w:t>
      </w:r>
      <w:bookmarkStart w:id="54" w:name="co_pp_sp_1661_559_1"/>
      <w:bookmarkEnd w:id="54"/>
      <w:r>
        <w:rPr>
          <w:rFonts w:ascii="Times New Roman" w:hAnsi="Times New Roman" w:cs="Times New Roman"/>
          <w:b/>
          <w:bCs/>
          <w:color w:val="000000"/>
          <w:sz w:val="20"/>
          <w:szCs w:val="20"/>
        </w:rPr>
        <w:t>*559</w:t>
      </w:r>
      <w:r>
        <w:rPr>
          <w:rFonts w:ascii="Times New Roman" w:hAnsi="Times New Roman" w:cs="Times New Roman"/>
          <w:color w:val="000000"/>
          <w:sz w:val="20"/>
          <w:szCs w:val="20"/>
        </w:rPr>
        <w:t xml:space="preserve"> as safe ... provision [is] written to allow the continued use of a large number of chemicals that are on the market without requiring them to go back through the scientific laboratory and establish safety.”</w:t>
      </w:r>
      <w:bookmarkStart w:id="55" w:name="co_footnoteReference_F24101952054_ID0EQW"/>
      <w:bookmarkEnd w:id="5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Mr. Goodrich went on to testify that the use of the “generally recognized as safe” provision was necessary to make the legislation “reasonable,”</w:t>
      </w:r>
      <w:bookmarkStart w:id="56" w:name="co_footnoteReference_F25101952054_ID0ETW"/>
      <w:bookmarkEnd w:id="5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by which he appears to have meant “workable.”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57" w:name="co_g_ID0E3WAE_1"/>
      <w:bookmarkEnd w:id="57"/>
      <w:r>
        <w:rPr>
          <w:rFonts w:ascii="Times New Roman" w:hAnsi="Times New Roman" w:cs="Times New Roman"/>
          <w:color w:val="000000"/>
          <w:sz w:val="20"/>
          <w:szCs w:val="20"/>
        </w:rPr>
        <w:t>No prolonged or focused debate over the use of the terminology ever materialized. The agency witnesses throughout the hearings leading up to the passage of the amendment acknowledged the imprecision of the language but nevertheless advocated it. A straightforward exposition of the agency’s reasoning in support of the “generally recognized” concept is found in a supplementary statement Commissioner Larrick submitted to the subcommittee in April 1958:</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The clause is designed to exclude ... those substances which according to the general consensus of competent scientific opinion are safe under the conditions of their intended use....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The concept of scientific consensus is ... not susceptible of reduction to a mathematical formula, but it is not obscure as a governing rule. Neither the industry nor the government has encountered any material difficulty in determining under the present act whether new drugs or pesticide chemicals are generally recognized by appropriately qualified experts as safe.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At any rate ... some provision is desirable for automatically excluding from the bill those additives which may be safety used without submission for official safety evaluation—no one as yet has been able to devise a satisfactory substitute for the “generally accepted” concept, and the revised definition ... contains the “generally recognized” clause.</w:t>
      </w:r>
      <w:bookmarkStart w:id="58" w:name="co_footnoteReference_F26101952054_ID0E1Y"/>
      <w:bookmarkEnd w:id="5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59" w:name="co_g_ID0EEZAE_1"/>
      <w:bookmarkEnd w:id="59"/>
      <w:r>
        <w:rPr>
          <w:rFonts w:ascii="Times New Roman" w:hAnsi="Times New Roman" w:cs="Times New Roman"/>
          <w:color w:val="000000"/>
          <w:sz w:val="20"/>
          <w:szCs w:val="20"/>
        </w:rPr>
        <w:t>The vagueness of the “general recognition” terminology apparently did not trouble the FDA witnesses. The language provided a flexible tool for excluding from food additive coverage a number of chemical compounds already in use and, at the same time, gave the agency enough discretion to proceed against compounds it considered problematic as well as against any new, untested compounds.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60" w:name="co_g_ID0ETZAE_1"/>
      <w:bookmarkEnd w:id="60"/>
      <w:r>
        <w:rPr>
          <w:rFonts w:ascii="Times New Roman" w:hAnsi="Times New Roman" w:cs="Times New Roman"/>
          <w:color w:val="000000"/>
          <w:sz w:val="20"/>
          <w:szCs w:val="20"/>
        </w:rPr>
        <w:t xml:space="preserve">The concept of “general recognition” also gave industry some room to maneuver. Throughout the hearings leading up to the passage of the bill, there was no suggestion that the decision whether a compound was generally recognized as safe was exclusively the FDA’s to make. On the contrary, </w:t>
      </w:r>
      <w:bookmarkStart w:id="61" w:name="co_pp_sp_1661_560_1"/>
      <w:bookmarkEnd w:id="61"/>
      <w:r>
        <w:rPr>
          <w:rFonts w:ascii="Times New Roman" w:hAnsi="Times New Roman" w:cs="Times New Roman"/>
          <w:b/>
          <w:bCs/>
          <w:color w:val="000000"/>
          <w:sz w:val="20"/>
          <w:szCs w:val="20"/>
        </w:rPr>
        <w:t>*560</w:t>
      </w:r>
      <w:r>
        <w:rPr>
          <w:rFonts w:ascii="Times New Roman" w:hAnsi="Times New Roman" w:cs="Times New Roman"/>
          <w:color w:val="000000"/>
          <w:sz w:val="20"/>
          <w:szCs w:val="20"/>
        </w:rPr>
        <w:t xml:space="preserve"> industry and agency witnesses alike assumed that a manufacturer had the opportunity to make its own GRAS determinations.</w:t>
      </w:r>
      <w:bookmarkStart w:id="62" w:name="co_footnoteReference_F27101952054_ID0EF1"/>
      <w:bookmarkEnd w:id="6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27</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63" w:name="co_g_ID0EM1AE_1"/>
      <w:bookmarkEnd w:id="63"/>
      <w:r>
        <w:rPr>
          <w:rFonts w:ascii="Times New Roman" w:hAnsi="Times New Roman" w:cs="Times New Roman"/>
          <w:color w:val="000000"/>
          <w:sz w:val="20"/>
          <w:szCs w:val="20"/>
        </w:rPr>
        <w:t>Apparently, the “generally recognized” terminology did not trouble the majority of congressmen. Congress had numerous opportunities to devise a clearer standard or, at the very least, define “general recognition.” It chose to do neither. The final House committee report on the bill emphasized that the “food additive” definition comes in to play, and pretesting is required, only with respect to those food additives which “are not generally recognized among competent experts as having been adequately shown to be safe under the conditions of their intended use.”</w:t>
      </w:r>
      <w:bookmarkStart w:id="64" w:name="co_footnoteReference_F28101952054_ID0EG2"/>
      <w:bookmarkEnd w:id="6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report went on to state that an additive may be shown to be safe either “by means of scientific procedures (including a review of the existing scientific literature) or, in the case of substances in use prior to January 1, 1958, also by means of experience based on common use in food.”</w:t>
      </w:r>
      <w:bookmarkStart w:id="65" w:name="co_footnoteReference_F29101952054_ID0EU2"/>
      <w:bookmarkEnd w:id="6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"#co_footnote_F29101952054_1"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29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report also emphasized that the bill had limits in that it exempted substances already approved under the Federal Food, Drug, and Cosmetic Act and under the Meat Inspection Act of 1907.</w:t>
      </w:r>
      <w:bookmarkStart w:id="66" w:name="co_footnoteReference_F30101952054_ID0EY2"/>
      <w:bookmarkEnd w:id="6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30</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67" w:name="co_g_ID0E62AE_1"/>
      <w:bookmarkEnd w:id="67"/>
      <w:r>
        <w:rPr>
          <w:rFonts w:ascii="Times New Roman" w:hAnsi="Times New Roman" w:cs="Times New Roman"/>
          <w:color w:val="000000"/>
          <w:sz w:val="20"/>
          <w:szCs w:val="20"/>
        </w:rPr>
        <w:t>The exclusion of GRAS substances and prior-sanctioned substances was premised on the recognition by Congress that additional testing was not necessary to ensure the safety of many long-used foods and food substances. Implicit in this recognition was the notion that to indiscriminately broaden the scope of the FAA might disrupt the food supply. Congress, decision to establish the two classes of exceptions, GRAS and prior-sanctioned substances, revealed a pragmatic acknowledgment of the need to prioritize. Prior-sanctioned substances were essentially a “closed” group, their status determined by past agency pronouncements and decisions. GRAS substances, on the other hand, were a less cohesive set of substances, their status being tied to the current state of scientific knowledge and expert opinion.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68" w:name="co_g_ID0EX3AE_1"/>
      <w:bookmarkEnd w:id="68"/>
      <w:r>
        <w:rPr>
          <w:rFonts w:ascii="Times New Roman" w:hAnsi="Times New Roman" w:cs="Times New Roman"/>
          <w:color w:val="000000"/>
          <w:sz w:val="20"/>
          <w:szCs w:val="20"/>
        </w:rPr>
        <w:t xml:space="preserve">It seems fair to conclude that Congress wanted to frame the scope of the “food additive” definition to give the FDA flexibility in enforcing the new law and to avoid the needless testing of ingredients, especially those which had long been used in foods </w:t>
      </w:r>
      <w:r>
        <w:rPr>
          <w:rFonts w:ascii="Times New Roman" w:hAnsi="Times New Roman" w:cs="Times New Roman"/>
          <w:color w:val="000000"/>
          <w:sz w:val="20"/>
          <w:szCs w:val="20"/>
        </w:rPr>
        <w:lastRenderedPageBreak/>
        <w:t>without harm. Thus, the decision to retain the “general recognition” terminology indicates, at a minimum, Congress’ view of the priorities that had to be set if there was to be any progress in ensuring the safety of food ingredients.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69" w:name="co_g_ID0EG4AE_1"/>
      <w:bookmarkStart w:id="70" w:name="co_pp_sp_1661_561_1"/>
      <w:bookmarkEnd w:id="69"/>
      <w:bookmarkEnd w:id="70"/>
      <w:r>
        <w:rPr>
          <w:rFonts w:ascii="Times New Roman" w:hAnsi="Times New Roman" w:cs="Times New Roman"/>
          <w:b/>
          <w:bCs/>
          <w:color w:val="000000"/>
          <w:sz w:val="20"/>
          <w:szCs w:val="20"/>
        </w:rPr>
        <w:t>*561</w:t>
      </w:r>
      <w:r>
        <w:rPr>
          <w:rFonts w:ascii="Times New Roman" w:hAnsi="Times New Roman" w:cs="Times New Roman"/>
          <w:color w:val="000000"/>
          <w:sz w:val="20"/>
          <w:szCs w:val="20"/>
        </w:rPr>
        <w:t xml:space="preserve"> The transitional provisions of the FAA also reflected this general view concerning food safety priorities. The provisions authorized the FDA to grant relatively short, variable grace-periods for marketing, without an approved food additive petition, food additives “established in commercial use prior to 1958.”</w:t>
      </w:r>
      <w:bookmarkStart w:id="71" w:name="co_footnoteReference_F31101952054_ID0E54"/>
      <w:bookmarkEnd w:id="7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FDA could extend a period of unapproved marketing on the basis of “need” and a finding that an extension involved “no undue risk to the public health.”</w:t>
      </w:r>
      <w:bookmarkStart w:id="72" w:name="co_footnoteReference_F32101952054_ID0EM5"/>
      <w:bookmarkEnd w:id="7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FDA’s authority to extend was not absolute, however, and was scheduled to expire March 6, 1961.</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73" w:name="co_g_ID0EV5AE_1"/>
      <w:bookmarkEnd w:id="73"/>
      <w:r>
        <w:rPr>
          <w:rFonts w:ascii="Times New Roman" w:hAnsi="Times New Roman" w:cs="Times New Roman"/>
          <w:color w:val="000000"/>
          <w:sz w:val="20"/>
          <w:szCs w:val="20"/>
        </w:rPr>
        <w:t>The transitional provisions were designed to permit the “orderly transition” on the part of the industry from the pre-1958 legal requirements to the new requirements in the FAA.</w:t>
      </w:r>
      <w:bookmarkStart w:id="74" w:name="co_footnoteReference_F33101952054_ID0E45"/>
      <w:bookmarkEnd w:id="7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During a grace-period, the manufacturer of the unapproved food additive was to develop the necessary data and information required to support approval of a food additive petition. The FDA frequently used the authority under the provisions. By March 1961, the agency had permitted over 3000 substances to be marketed on a transitional basis. Just as the authority under the provisions was about to expire, Congress, at the agency’s request, extended the effective period of transitional authority through June 30, 1964. In so doing, Congress once again displayed its resolve to encourage a flexible pragmatism in federal efforts to ensure a safe food supply.</w:t>
      </w:r>
      <w:bookmarkStart w:id="75" w:name="co_footnoteReference_F34101952054_ID0EN6"/>
      <w:bookmarkEnd w:id="7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34</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76" w:name="co_g_ID0EU6AE_1"/>
      <w:bookmarkEnd w:id="76"/>
      <w:r>
        <w:rPr>
          <w:rFonts w:ascii="Times New Roman" w:hAnsi="Times New Roman" w:cs="Times New Roman"/>
          <w:b/>
          <w:bCs/>
          <w:color w:val="000000"/>
          <w:sz w:val="20"/>
          <w:szCs w:val="20"/>
        </w:rPr>
        <w:t xml:space="preserve">C. </w:t>
      </w:r>
      <w:proofErr w:type="gramStart"/>
      <w:r>
        <w:rPr>
          <w:rFonts w:ascii="Times New Roman" w:hAnsi="Times New Roman" w:cs="Times New Roman"/>
          <w:b/>
          <w:bCs/>
          <w:color w:val="000000"/>
          <w:sz w:val="20"/>
          <w:szCs w:val="20"/>
        </w:rPr>
        <w:t>The</w:t>
      </w:r>
      <w:proofErr w:type="gramEnd"/>
      <w:r>
        <w:rPr>
          <w:rFonts w:ascii="Times New Roman" w:hAnsi="Times New Roman" w:cs="Times New Roman"/>
          <w:b/>
          <w:bCs/>
          <w:color w:val="000000"/>
          <w:sz w:val="20"/>
          <w:szCs w:val="20"/>
        </w:rPr>
        <w:t xml:space="preserve"> FDA’s First Efforts to Interpret and Implement the GRAS Provisions of the Act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77" w:name="co_g_ID0E56AE_1"/>
      <w:bookmarkEnd w:id="77"/>
      <w:r>
        <w:rPr>
          <w:rFonts w:ascii="Times New Roman" w:hAnsi="Times New Roman" w:cs="Times New Roman"/>
          <w:color w:val="000000"/>
          <w:sz w:val="20"/>
          <w:szCs w:val="20"/>
        </w:rPr>
        <w:t>The transitional provisions permitted the FDA to focus on more pressing problems. Upon passage of the FAA, the agency was importuned by industry to publish a list of prior-sanctioned food ingredients, i.e., those which FDA had approved in the years prior to the passage of the 1958 Amendment. With the exception of one short list in the field of packaging ingredients, the agency was unable to develop an accurate, complete list of such ingredients.</w:t>
      </w:r>
      <w:bookmarkStart w:id="78" w:name="co_footnoteReference_F35101952054_ID0ENA"/>
      <w:bookmarkEnd w:id="7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Obviously, the agency had not given prior sanctions with the idea that they would become the basis for a regulatory exemption. As a result, no systematic filing system had been established to preserve the agency’s decisionmaking concerning prior sanctions. Moreover, for many of the substances for which the agency had records of approval, the ingredient formulations were entitled to trade secret protection and, therefore, were not disclosable. Accordingly, the FDA repeatedly advised that if anyone believed a prior sanction had been granted for a specific </w:t>
      </w:r>
      <w:bookmarkStart w:id="79" w:name="co_pp_sp_1661_562_1"/>
      <w:bookmarkEnd w:id="79"/>
      <w:r>
        <w:rPr>
          <w:rFonts w:ascii="Times New Roman" w:hAnsi="Times New Roman" w:cs="Times New Roman"/>
          <w:b/>
          <w:bCs/>
          <w:color w:val="000000"/>
          <w:sz w:val="20"/>
          <w:szCs w:val="20"/>
        </w:rPr>
        <w:t>*562</w:t>
      </w:r>
      <w:r>
        <w:rPr>
          <w:rFonts w:ascii="Times New Roman" w:hAnsi="Times New Roman" w:cs="Times New Roman"/>
          <w:color w:val="000000"/>
          <w:sz w:val="20"/>
          <w:szCs w:val="20"/>
        </w:rPr>
        <w:t xml:space="preserve"> item, the agency would attempt, upon request, to review its files to determine whether it had a record of such a sanction.</w:t>
      </w:r>
      <w:bookmarkStart w:id="80" w:name="co_footnoteReference_F36101952054_ID0E6A"/>
      <w:bookmarkEnd w:id="8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81" w:name="co_g_ID0EGBAG_1"/>
      <w:bookmarkEnd w:id="81"/>
      <w:r>
        <w:rPr>
          <w:rFonts w:ascii="Times New Roman" w:hAnsi="Times New Roman" w:cs="Times New Roman"/>
          <w:color w:val="000000"/>
          <w:sz w:val="20"/>
          <w:szCs w:val="20"/>
        </w:rPr>
        <w:t>An even more urgent problem confronting the agency in 1958 involved determining what substances currently on the market were exempted by virtue of their GRAS status. The Amendment had not only been vague as to the standard for GRAS status, but had also failed to prescribe procedures for determining what ingredients then on the market would be deemed GRAS and, thus, not food additives. These were extremely important questions in light of the relatively brief transitional period during which food additives would have to be proven safe or removed from use.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82" w:name="co_g_ID0EYBAG_1"/>
      <w:bookmarkEnd w:id="82"/>
      <w:r>
        <w:rPr>
          <w:rFonts w:ascii="Times New Roman" w:hAnsi="Times New Roman" w:cs="Times New Roman"/>
          <w:color w:val="000000"/>
          <w:sz w:val="20"/>
          <w:szCs w:val="20"/>
        </w:rPr>
        <w:t>The FDA recognized that it had to develop quickly some listing of those substances which could continue to be safely used without pretesting. The agency also recognized that it was unnecessary and impractical, if not impossible, to prepare a truly complete list. Many of the substances used in food, such as water, sugar, and salt, were so generally recognized as safe, not only by qualified experts but by consumers as well, that their inclusion in a list of safe substances would serve no useful purpose.</w:t>
      </w:r>
      <w:bookmarkStart w:id="83" w:name="co_footnoteReference_F37101952054_ID0EGC"/>
      <w:bookmarkEnd w:id="8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However, there were a great many other substances that were generally recognized as safe by experts but might not be recognized as such by consumers and manufacturers.</w:t>
      </w:r>
      <w:bookmarkStart w:id="84" w:name="co_footnoteReference_F38101952054_ID0ELC"/>
      <w:bookmarkEnd w:id="8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According to Arthur Checchi, then Assistant to Deputy Commissioner Harvey, the agency decided to prepare a partial list of those substances.</w:t>
      </w:r>
      <w:bookmarkStart w:id="85" w:name="co_footnoteReference_F39101952054_ID0EQC"/>
      <w:bookmarkEnd w:id="8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"#co_footnote_F39101952054_1"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39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preparing this initial GRAS list, the FDA</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[d]ebated on the best means for determining which of those substances that have common usage in food are generally recognized by qualified experts as safe despite the fact that they have not been tested by scientific procedures. After much soul searching [FDA] concluded that this is not a problem which should be resolved by administrative fiat, but a decision in which the experts outside of [FDA] should also be given a voice.</w:t>
      </w:r>
      <w:bookmarkStart w:id="86" w:name="co_footnoteReference_F40101952054_ID0E6C"/>
      <w:bookmarkEnd w:id="8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40</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87" w:name="co_g_ID0EGDAG_1"/>
      <w:bookmarkEnd w:id="87"/>
      <w:r>
        <w:rPr>
          <w:rFonts w:ascii="Times New Roman" w:hAnsi="Times New Roman" w:cs="Times New Roman"/>
          <w:color w:val="000000"/>
          <w:sz w:val="20"/>
          <w:szCs w:val="20"/>
        </w:rPr>
        <w:t>The agency proceeded accordingly. On December 9, 1958, the FDA proposed regulations to implement the new law, including an initial list of approximately 180 substances the agency considered to be generally recognized as safe.</w:t>
      </w:r>
      <w:bookmarkStart w:id="88" w:name="co_footnoteReference_F41101952054_ID0ERD"/>
      <w:bookmarkEnd w:id="8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As a condition to some of the listed ingredients maintaining their GRAS status, the agency proposed that the ingredients could be used only for certain designated purposes and had to be used in accordance </w:t>
      </w:r>
      <w:bookmarkStart w:id="89" w:name="co_pp_sp_1661_563_1"/>
      <w:bookmarkEnd w:id="89"/>
      <w:r>
        <w:rPr>
          <w:rFonts w:ascii="Times New Roman" w:hAnsi="Times New Roman" w:cs="Times New Roman"/>
          <w:b/>
          <w:bCs/>
          <w:color w:val="000000"/>
          <w:sz w:val="20"/>
          <w:szCs w:val="20"/>
        </w:rPr>
        <w:t>*563</w:t>
      </w:r>
      <w:r>
        <w:rPr>
          <w:rFonts w:ascii="Times New Roman" w:hAnsi="Times New Roman" w:cs="Times New Roman"/>
          <w:color w:val="000000"/>
          <w:sz w:val="20"/>
          <w:szCs w:val="20"/>
        </w:rPr>
        <w:t xml:space="preserve"> with good manufacturing practices. The agency also took the position that any substance added to food and having no history of common use as a food ingredient, “should be regarded” </w:t>
      </w:r>
      <w:r>
        <w:rPr>
          <w:rFonts w:ascii="Times New Roman" w:hAnsi="Times New Roman" w:cs="Times New Roman"/>
          <w:color w:val="000000"/>
          <w:sz w:val="20"/>
          <w:szCs w:val="20"/>
        </w:rPr>
        <w:lastRenderedPageBreak/>
        <w:t>as a substance that is not GRAS.</w:t>
      </w:r>
      <w:bookmarkStart w:id="90" w:name="co_footnoteReference_F42101952054_ID0E4D"/>
      <w:bookmarkEnd w:id="9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42</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91" w:name="co_g_ID0EEEAG_1"/>
      <w:bookmarkEnd w:id="91"/>
      <w:r>
        <w:rPr>
          <w:rFonts w:ascii="Times New Roman" w:hAnsi="Times New Roman" w:cs="Times New Roman"/>
          <w:color w:val="000000"/>
          <w:sz w:val="20"/>
          <w:szCs w:val="20"/>
        </w:rPr>
        <w:t>The agency circulated the proposed list to approximately 800 scientists representing a variety of disciplines and solicited their comments.</w:t>
      </w:r>
      <w:bookmarkStart w:id="92" w:name="co_footnoteReference_F43101952054_ID0EME"/>
      <w:bookmarkEnd w:id="9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Over 350 responded. About 100 of those responses were taken into account by the agency.</w:t>
      </w:r>
      <w:bookmarkStart w:id="93" w:name="co_footnoteReference_F44101952054_ID0EUE"/>
      <w:bookmarkEnd w:id="9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Some of the scientists commented that they could express no opinion at all on the list until the agency described the compounds with greater specificity, and provided the levels and conditions of use.</w:t>
      </w:r>
      <w:bookmarkStart w:id="94" w:name="co_footnoteReference_F45101952054_ID0EZE"/>
      <w:bookmarkEnd w:id="9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Several responded that they were not aware of any proof whatsoever of the safety of many of the compounds.</w:t>
      </w:r>
      <w:bookmarkStart w:id="95" w:name="co_footnoteReference_F46101952054_ID0E5E"/>
      <w:bookmarkEnd w:id="9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46</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Still others questioned the safety of such common nutrients as carotene and vitamins C and D.</w:t>
      </w:r>
      <w:bookmarkStart w:id="96" w:name="co_footnoteReference_F47101952054_ID0EDF"/>
      <w:bookmarkEnd w:id="9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Moreover, as explained by former FDA Chief Counsel Goodrich:</w:t>
      </w:r>
    </w:p>
    <w:p w:rsidR="00BA7631" w:rsidRDefault="00CA2116">
      <w:pPr>
        <w:widowControl w:val="0"/>
        <w:autoSpaceDE w:val="0"/>
        <w:autoSpaceDN w:val="0"/>
        <w:adjustRightInd w:val="0"/>
        <w:spacing w:after="0" w:line="240" w:lineRule="auto"/>
        <w:ind w:left="800" w:right="800"/>
        <w:jc w:val="both"/>
        <w:rPr>
          <w:rFonts w:ascii="Times New Roman" w:hAnsi="Times New Roman" w:cs="Times New Roman"/>
          <w:color w:val="000000"/>
          <w:sz w:val="16"/>
          <w:szCs w:val="16"/>
        </w:rPr>
      </w:pPr>
      <w:r>
        <w:rPr>
          <w:rFonts w:ascii="Times New Roman" w:hAnsi="Times New Roman" w:cs="Times New Roman"/>
          <w:color w:val="000000"/>
          <w:sz w:val="20"/>
          <w:szCs w:val="20"/>
        </w:rPr>
        <w:t>Others suggested that detailed specifications were needed for ingredients such as acetic acid, sodium benzoate, the propionates and calcium chloride—to name only a few. Another group raised questions about impurities, some of which might possibly be carcinogenic, in carbon black, charcoal, and other listed ingredients. Some expressed views that certain additives should not be regarded as safe when much safer substitutes were available. Finally, some of the comments advanced the idea that pharmacological study is needed on some foods that are cooked, to determine whether they contain heat decomposit on products which might possibly be harmful.</w:t>
      </w:r>
      <w:bookmarkStart w:id="97" w:name="co_footnoteReference_F48101952054_ID0E3F"/>
      <w:bookmarkEnd w:id="9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48</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98" w:name="co_g_ID0EGGAG_1"/>
      <w:bookmarkEnd w:id="98"/>
      <w:r>
        <w:rPr>
          <w:rFonts w:ascii="Times New Roman" w:hAnsi="Times New Roman" w:cs="Times New Roman"/>
          <w:color w:val="000000"/>
          <w:sz w:val="20"/>
          <w:szCs w:val="20"/>
        </w:rPr>
        <w:t>On November 20, 1959, the FDA finalized its initial list of GRAS substances.</w:t>
      </w:r>
      <w:bookmarkStart w:id="99" w:name="co_footnoteReference_F49101952054_ID0EOG"/>
      <w:bookmarkEnd w:id="9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"#co_footnote_F49101952054_1"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49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Several ingredients named in the proposal were not included in the final list.</w:t>
      </w:r>
      <w:bookmarkStart w:id="100" w:name="co_footnoteReference_F50101952054_ID0ETG"/>
      <w:bookmarkEnd w:id="10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omissions led many to believe that the substances in question were not GRAS. Not so, explained Commissioner Larrick:</w:t>
      </w:r>
    </w:p>
    <w:p w:rsidR="00BA7631" w:rsidRDefault="00CA2116">
      <w:pPr>
        <w:widowControl w:val="0"/>
        <w:autoSpaceDE w:val="0"/>
        <w:autoSpaceDN w:val="0"/>
        <w:adjustRightInd w:val="0"/>
        <w:spacing w:after="0" w:line="240" w:lineRule="auto"/>
        <w:ind w:left="800" w:right="800"/>
        <w:jc w:val="both"/>
        <w:rPr>
          <w:rFonts w:ascii="Times New Roman" w:hAnsi="Times New Roman" w:cs="Times New Roman"/>
          <w:color w:val="000000"/>
          <w:sz w:val="16"/>
          <w:szCs w:val="16"/>
        </w:rPr>
      </w:pPr>
      <w:r>
        <w:rPr>
          <w:rFonts w:ascii="Times New Roman" w:hAnsi="Times New Roman" w:cs="Times New Roman"/>
          <w:color w:val="000000"/>
          <w:sz w:val="20"/>
          <w:szCs w:val="20"/>
        </w:rPr>
        <w:t xml:space="preserve">Our failure to include [carbon black, for example] after it had been incorporated in the tentative list published earlier did not mean at all that carbon black has been found unsafe. It simply reflected the fact </w:t>
      </w:r>
      <w:bookmarkStart w:id="101" w:name="co_pp_sp_1661_564_1"/>
      <w:bookmarkEnd w:id="101"/>
      <w:r>
        <w:rPr>
          <w:rFonts w:ascii="Times New Roman" w:hAnsi="Times New Roman" w:cs="Times New Roman"/>
          <w:b/>
          <w:bCs/>
          <w:color w:val="000000"/>
          <w:sz w:val="20"/>
          <w:szCs w:val="20"/>
        </w:rPr>
        <w:t>*564</w:t>
      </w:r>
      <w:r>
        <w:rPr>
          <w:rFonts w:ascii="Times New Roman" w:hAnsi="Times New Roman" w:cs="Times New Roman"/>
          <w:color w:val="000000"/>
          <w:sz w:val="20"/>
          <w:szCs w:val="20"/>
        </w:rPr>
        <w:t xml:space="preserve"> that some of the competent scientists who wrote us said they did not have a basis for regarding “carbon black” unqualified, as safe in food. They knew that under some method of manufacture the compound might be contaminated with toxic impurities. They had no question about the safety of pure carbon. So, we concluded that it would be necessary, before recognizing carbon black as a suitable ingredient in food, to ask the manufacturers to suggest specifications for a compound suitable for food use that could be incorporated in a regulation sanctioning the addition of the product to foodstuffs. The effective date of the amendment has already been extended, with respect to carbon black, to allow time for the development by its producers of appropriate specifications.</w:t>
      </w:r>
      <w:bookmarkStart w:id="102" w:name="co_footnoteReference_F51101952054_ID0E1H"/>
      <w:bookmarkEnd w:id="10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51</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03" w:name="co_g_ID0EEIAG_1"/>
      <w:bookmarkEnd w:id="103"/>
      <w:r>
        <w:rPr>
          <w:rFonts w:ascii="Times New Roman" w:hAnsi="Times New Roman" w:cs="Times New Roman"/>
          <w:color w:val="000000"/>
          <w:sz w:val="20"/>
          <w:szCs w:val="20"/>
        </w:rPr>
        <w:t>The FDA had no basis on which to question the safety of pure carbon black; no harm was imminent; no reason to alter the status quo was apparent; and, therefore, the agency would not rush a decision. To paraphrase Commissioner Larrick, good GRAS decisions sometimes just take time.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04" w:name="co_g_ID0ETIAG_1"/>
      <w:bookmarkEnd w:id="104"/>
      <w:r>
        <w:rPr>
          <w:rFonts w:ascii="Times New Roman" w:hAnsi="Times New Roman" w:cs="Times New Roman"/>
          <w:color w:val="000000"/>
          <w:sz w:val="20"/>
          <w:szCs w:val="20"/>
        </w:rPr>
        <w:t>In the November 1959 final rule, the agency also clarified the reference in the proposed rule to good manufacturing practice requirements by explaining that the use of the terminology, for purposes of the GRAS list, meant that the quantity of the substance added to food could not exceed the amount reasonably required to accomplish its intended physical effect, and that the quantity of the substance becoming a component of food as a result of the manufacturing process had to be reduced to the extent reasonably possible.</w:t>
      </w:r>
      <w:bookmarkStart w:id="105" w:name="co_footnoteReference_F52101952054_ID0E2I"/>
      <w:bookmarkEnd w:id="10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Moreover, the final rule applied these good manufacturing practice requirements to all GRAS substances, not just the few alluded to in the proposal.</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06" w:name="co_g_ID0EEJAG_1"/>
      <w:bookmarkEnd w:id="106"/>
      <w:r>
        <w:rPr>
          <w:rFonts w:ascii="Times New Roman" w:hAnsi="Times New Roman" w:cs="Times New Roman"/>
          <w:color w:val="000000"/>
          <w:sz w:val="20"/>
          <w:szCs w:val="20"/>
        </w:rPr>
        <w:t xml:space="preserve">The agency did not identify the data, information, or opinions it relied upon in determining that the listed substances were GRAS. Regardless, scientific proof of safety was clearly not the issue the agency addressed in proposing and finalizing this first GRAS list. Rather, the issue was “general recognition” of safety, which, in turn, was based on some unexplained amalgam of scientific opinion and common use of the compound in food prior to January 1, 1958. The contemporaneous public statements by FDA personnel responsible for implementing the Amendments, particularly with respect to developing and amending the GRAS list, stressed its </w:t>
      </w:r>
      <w:bookmarkStart w:id="107" w:name="co_pp_sp_1661_565_1"/>
      <w:bookmarkEnd w:id="107"/>
      <w:r>
        <w:rPr>
          <w:rFonts w:ascii="Times New Roman" w:hAnsi="Times New Roman" w:cs="Times New Roman"/>
          <w:b/>
          <w:bCs/>
          <w:color w:val="000000"/>
          <w:sz w:val="20"/>
          <w:szCs w:val="20"/>
        </w:rPr>
        <w:t>*565</w:t>
      </w:r>
      <w:r>
        <w:rPr>
          <w:rFonts w:ascii="Times New Roman" w:hAnsi="Times New Roman" w:cs="Times New Roman"/>
          <w:color w:val="000000"/>
          <w:sz w:val="20"/>
          <w:szCs w:val="20"/>
        </w:rPr>
        <w:t xml:space="preserve"> advisory nature</w:t>
      </w:r>
      <w:proofErr w:type="gramStart"/>
      <w:r>
        <w:rPr>
          <w:rFonts w:ascii="Times New Roman" w:hAnsi="Times New Roman" w:cs="Times New Roman"/>
          <w:color w:val="000000"/>
          <w:sz w:val="20"/>
          <w:szCs w:val="20"/>
        </w:rPr>
        <w:t>,</w:t>
      </w:r>
      <w:bookmarkStart w:id="108" w:name="co_footnoteReference_F53101952054_ID0EYJ"/>
      <w:bookmarkEnd w:id="108"/>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its incompleteness,</w:t>
      </w:r>
      <w:bookmarkStart w:id="109" w:name="co_footnoteReference_F54101952054_ID0E2J"/>
      <w:bookmarkEnd w:id="10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likelihood it would be changed,</w:t>
      </w:r>
      <w:bookmarkStart w:id="110" w:name="co_footnoteReference_F55101952054_ID0E5J"/>
      <w:bookmarkEnd w:id="11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and its potential to become complicated.</w:t>
      </w:r>
      <w:bookmarkStart w:id="111" w:name="co_footnoteReference_F56101952054_ID0ECK"/>
      <w:bookmarkEnd w:id="11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12" w:name="co_g_ID0EJKAG_1"/>
      <w:bookmarkEnd w:id="112"/>
      <w:r>
        <w:rPr>
          <w:rFonts w:ascii="Times New Roman" w:hAnsi="Times New Roman" w:cs="Times New Roman"/>
          <w:color w:val="000000"/>
          <w:sz w:val="20"/>
          <w:szCs w:val="20"/>
        </w:rPr>
        <w:t>The agency continued to publish revised GRAS lists in 1959 and 1960. The lists received wide publicity in the trade press and technical journals.</w:t>
      </w:r>
      <w:bookmarkStart w:id="113" w:name="co_footnoteReference_F57101952054_ID0EUK"/>
      <w:bookmarkEnd w:id="11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developing the lists, the agency relied upon its own expertise as well as industry input. For example, according to the agency, “affidavits received from a few experts” that they regarded a substance as GRAS were “a good reason </w:t>
      </w:r>
      <w:r>
        <w:rPr>
          <w:rFonts w:ascii="Times New Roman" w:hAnsi="Times New Roman" w:cs="Times New Roman"/>
          <w:color w:val="000000"/>
          <w:sz w:val="20"/>
          <w:szCs w:val="20"/>
        </w:rPr>
        <w:lastRenderedPageBreak/>
        <w:t>for publishing a proposal.”</w:t>
      </w:r>
      <w:bookmarkStart w:id="114" w:name="co_footnoteReference_F58101952054_ID0ENL"/>
      <w:bookmarkEnd w:id="11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58</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15" w:name="co_g_ID0EULAG_1"/>
      <w:bookmarkEnd w:id="115"/>
      <w:r>
        <w:rPr>
          <w:rFonts w:ascii="Times New Roman" w:hAnsi="Times New Roman" w:cs="Times New Roman"/>
          <w:color w:val="000000"/>
          <w:sz w:val="20"/>
          <w:szCs w:val="20"/>
        </w:rPr>
        <w:t>By February 28, 1961, the agency had listed over 718 substances as GRAS and over 112 substances as prior sanctioned.</w:t>
      </w:r>
      <w:bookmarkStart w:id="116" w:name="co_footnoteReference_F59101952054_ID0E3L"/>
      <w:bookmarkEnd w:id="11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"#co_footnote_F59101952054_1"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59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Meanwhile, the agency had only approved fifty-nine food additive petitions.</w:t>
      </w:r>
      <w:bookmarkStart w:id="117" w:name="co_footnoteReference_F60101952054_ID0EBM"/>
      <w:bookmarkEnd w:id="11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These early years reflect significant, practical agency decisionmaking in ruling on what was, and what </w:t>
      </w:r>
      <w:proofErr w:type="gramStart"/>
      <w:r>
        <w:rPr>
          <w:rFonts w:ascii="Times New Roman" w:hAnsi="Times New Roman" w:cs="Times New Roman"/>
          <w:color w:val="000000"/>
          <w:sz w:val="20"/>
          <w:szCs w:val="20"/>
        </w:rPr>
        <w:t>was not, GRAS</w:t>
      </w:r>
      <w:proofErr w:type="gramEnd"/>
      <w:r>
        <w:rPr>
          <w:rFonts w:ascii="Times New Roman" w:hAnsi="Times New Roman" w:cs="Times New Roman"/>
          <w:color w:val="000000"/>
          <w:sz w:val="20"/>
          <w:szCs w:val="20"/>
        </w:rPr>
        <w:t>. That the agency’s initial GRAS determinations were not overly scientific is reflected by the fact that in proposing part 121 of title 21 of the Code of Federal Regulations, the agency made no effort to define the phrase “generally recognized as safe.” Nor did the proposed regulations contain any discussion regarding how the agency intended to decide whether a substance was, in fact, generally recognized as safe. Proposed section 121.3 simply stated that “ i n general, any substance added to a food which has no history of common use as a food ingredient, should be regarded as a substance that is not generally recognized as safe unless it has been scientifically tested and shown to be safe.”</w:t>
      </w:r>
      <w:bookmarkStart w:id="118" w:name="co_footnoteReference_F61101952054_ID0E6M"/>
      <w:bookmarkEnd w:id="11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61</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19" w:name="co_g_ID0EGNAG_1"/>
      <w:bookmarkEnd w:id="119"/>
      <w:r>
        <w:rPr>
          <w:rFonts w:ascii="Times New Roman" w:hAnsi="Times New Roman" w:cs="Times New Roman"/>
          <w:color w:val="000000"/>
          <w:sz w:val="20"/>
          <w:szCs w:val="20"/>
        </w:rPr>
        <w:t>This lack of specificity reflected the view, implicit throughout the congressional hearings, that the GRAS concept is forward-looking and fluid. The concept permits substances to gain GRAS status or lose GRAS status based on changes in scientific knowledge and in the scientific perception of knowledge. As Deputy Commissioner Harvey explained in discussing the initial lists:</w:t>
      </w:r>
    </w:p>
    <w:p w:rsidR="00BA7631" w:rsidRDefault="00CA2116">
      <w:pPr>
        <w:widowControl w:val="0"/>
        <w:autoSpaceDE w:val="0"/>
        <w:autoSpaceDN w:val="0"/>
        <w:adjustRightInd w:val="0"/>
        <w:spacing w:after="0" w:line="240" w:lineRule="auto"/>
        <w:ind w:left="800" w:right="800"/>
        <w:jc w:val="both"/>
        <w:rPr>
          <w:rFonts w:ascii="Times New Roman" w:hAnsi="Times New Roman" w:cs="Times New Roman"/>
          <w:color w:val="000000"/>
          <w:sz w:val="16"/>
          <w:szCs w:val="16"/>
        </w:rPr>
      </w:pPr>
      <w:r>
        <w:rPr>
          <w:rFonts w:ascii="Times New Roman" w:hAnsi="Times New Roman" w:cs="Times New Roman"/>
          <w:color w:val="000000"/>
          <w:sz w:val="20"/>
          <w:szCs w:val="20"/>
        </w:rPr>
        <w:t xml:space="preserve">These [lists] were put out in an attempt to be helpful to industry, </w:t>
      </w:r>
      <w:bookmarkStart w:id="120" w:name="co_pp_sp_1661_566_1"/>
      <w:bookmarkEnd w:id="120"/>
      <w:r>
        <w:rPr>
          <w:rFonts w:ascii="Times New Roman" w:hAnsi="Times New Roman" w:cs="Times New Roman"/>
          <w:b/>
          <w:bCs/>
          <w:color w:val="000000"/>
          <w:sz w:val="20"/>
          <w:szCs w:val="20"/>
        </w:rPr>
        <w:t>*566</w:t>
      </w:r>
      <w:r>
        <w:rPr>
          <w:rFonts w:ascii="Times New Roman" w:hAnsi="Times New Roman" w:cs="Times New Roman"/>
          <w:color w:val="000000"/>
          <w:sz w:val="20"/>
          <w:szCs w:val="20"/>
        </w:rPr>
        <w:t xml:space="preserve"> and we expect to be able to publish more of these as time goes on. Certainly, however, the fact that a substance does not appear on those lists should not be taken as an automatic conclusion that that substance is a food additive. We have constantly advised inquirers that they are at liberty to make their own decisions as to whether a substance is generally recognized as safe. If they have a decision that a substance is not a food additive on sound data which is available to the scientific community generally, we anticipate no disagreement on our part. On the other hand, if the decision that a substance is safe is based only on scientific information available to a specific manufacturer but which has not been made available to the scientific community through appropriate publications, we think that a food additive regulation may well be needed.</w:t>
      </w:r>
      <w:bookmarkStart w:id="121" w:name="co_footnoteReference_F62101952054_ID0EQO"/>
      <w:bookmarkEnd w:id="12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62</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22" w:name="co_g_ID0E1OAG_1"/>
      <w:bookmarkEnd w:id="122"/>
      <w:r>
        <w:rPr>
          <w:rFonts w:ascii="Times New Roman" w:hAnsi="Times New Roman" w:cs="Times New Roman"/>
          <w:color w:val="000000"/>
          <w:sz w:val="20"/>
          <w:szCs w:val="20"/>
        </w:rPr>
        <w:t>The agency relied upon and followed this relatively loose approach to dealing with the GRAS exception for over twelve years. The agency’s activity with regard to GRAS substances during this period was “restricted to publishing examples of GRAS ingredients and advisory opinions in response to questions about GRAS status.”</w:t>
      </w:r>
      <w:bookmarkStart w:id="123" w:name="co_footnoteReference_F63101952054_ID0ENP"/>
      <w:bookmarkEnd w:id="12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63</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24" w:name="co_g_ID0EUPAG_1"/>
      <w:bookmarkEnd w:id="124"/>
      <w:r>
        <w:rPr>
          <w:rFonts w:ascii="Times New Roman" w:hAnsi="Times New Roman" w:cs="Times New Roman"/>
          <w:b/>
          <w:bCs/>
          <w:color w:val="000000"/>
          <w:sz w:val="20"/>
          <w:szCs w:val="20"/>
        </w:rPr>
        <w:t xml:space="preserve">D. </w:t>
      </w:r>
      <w:proofErr w:type="gramStart"/>
      <w:r>
        <w:rPr>
          <w:rFonts w:ascii="Times New Roman" w:hAnsi="Times New Roman" w:cs="Times New Roman"/>
          <w:b/>
          <w:bCs/>
          <w:color w:val="000000"/>
          <w:sz w:val="20"/>
          <w:szCs w:val="20"/>
        </w:rPr>
        <w:t>The</w:t>
      </w:r>
      <w:proofErr w:type="gramEnd"/>
      <w:r>
        <w:rPr>
          <w:rFonts w:ascii="Times New Roman" w:hAnsi="Times New Roman" w:cs="Times New Roman"/>
          <w:b/>
          <w:bCs/>
          <w:color w:val="000000"/>
          <w:sz w:val="20"/>
          <w:szCs w:val="20"/>
        </w:rPr>
        <w:t xml:space="preserve"> Flavor and Extract Manufacturers’ Association’s Independent GRAS Review</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25" w:name="co_g_ID0E5PAG_1"/>
      <w:bookmarkEnd w:id="125"/>
      <w:r>
        <w:rPr>
          <w:rFonts w:ascii="Times New Roman" w:hAnsi="Times New Roman" w:cs="Times New Roman"/>
          <w:color w:val="000000"/>
          <w:sz w:val="20"/>
          <w:szCs w:val="20"/>
        </w:rPr>
        <w:t>As discussed earlier, the Delaney Committee estimated that the universe of compounds added to food in the 1950s was relatively small (approximately 800). Shortly after the passage of the FAA, the FDA recognized that the number of compounds added to food was significantly greater.</w:t>
      </w:r>
      <w:bookmarkStart w:id="126" w:name="co_footnoteReference_F64101952054_ID0EJQ"/>
      <w:bookmarkEnd w:id="12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Nevertheless, as discussed above, the agency’s initial consideration of compounds for GRAS status was limited. Of necessity, many compounds eligible for GRAS status were not evaluated by the FDA. The agency readily acknowledged that it was not feasible to prepare a list of all GRAS substances.</w:t>
      </w:r>
      <w:bookmarkStart w:id="127" w:name="co_footnoteReference_F65101952054_ID0ETQ"/>
      <w:bookmarkEnd w:id="12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65</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28" w:name="co_g_ID0E1QAG_1"/>
      <w:bookmarkEnd w:id="128"/>
      <w:r>
        <w:rPr>
          <w:rFonts w:ascii="Times New Roman" w:hAnsi="Times New Roman" w:cs="Times New Roman"/>
          <w:color w:val="000000"/>
          <w:sz w:val="20"/>
          <w:szCs w:val="20"/>
        </w:rPr>
        <w:t xml:space="preserve">This created an opportunity for responsible industry and scientific groups to conduct independent reviews of the ingredients used in the manufacture of food. The only large-scale, independent effort of this nature was conducted—and continues to be conducted—by the Flavor and Extract Manufacturers’ Association (FEMA). Some 1000 flavor compounds had been omitted from the FDA’s initial consideration of GRAS substances. The omission probably occurred because there were so many flavor substances and these were normally used in very small quantities. Immediately </w:t>
      </w:r>
      <w:bookmarkStart w:id="129" w:name="co_pp_sp_1661_567_1"/>
      <w:bookmarkEnd w:id="129"/>
      <w:r>
        <w:rPr>
          <w:rFonts w:ascii="Times New Roman" w:hAnsi="Times New Roman" w:cs="Times New Roman"/>
          <w:b/>
          <w:bCs/>
          <w:color w:val="000000"/>
          <w:sz w:val="20"/>
          <w:szCs w:val="20"/>
        </w:rPr>
        <w:t>*567</w:t>
      </w:r>
      <w:r>
        <w:rPr>
          <w:rFonts w:ascii="Times New Roman" w:hAnsi="Times New Roman" w:cs="Times New Roman"/>
          <w:color w:val="000000"/>
          <w:sz w:val="20"/>
          <w:szCs w:val="20"/>
        </w:rPr>
        <w:t xml:space="preserve"> after the passage of the 1958 Amendments, FEMA created a panel of expert oncologists, toxicologists, and other professionals to determine, on the basis of all available data (including experience based on common use in food), what flavoring substances were GRAS. This process was undertaken with the FDA’s knowledge. FEMA routinely published the results of the panel’s deliberations and its conclusions with regard to GRAS status.</w:t>
      </w:r>
      <w:bookmarkStart w:id="130" w:name="co_footnoteReference_F66101952054_ID0EYR"/>
      <w:bookmarkEnd w:id="13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31" w:name="co_g_ID0E6RAG_1"/>
      <w:bookmarkEnd w:id="131"/>
      <w:r>
        <w:rPr>
          <w:rFonts w:ascii="Times New Roman" w:hAnsi="Times New Roman" w:cs="Times New Roman"/>
          <w:color w:val="000000"/>
          <w:sz w:val="20"/>
          <w:szCs w:val="20"/>
        </w:rPr>
        <w:t>During the early years of the panel’s operations, the most significant part of its work involved reviewing information for the flavoring substances used in food prior to 1958. In more recent years, the panel has dealt less with such substances and more with new substances intended for use as flavors, as well as new uses for previously listed or used substances. FEMA has published the results of these deliberations as well.</w:t>
      </w:r>
      <w:bookmarkStart w:id="132" w:name="co_footnoteReference_F67101952054_ID0EMS"/>
      <w:bookmarkEnd w:id="13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67</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33" w:name="co_g_ID0ETSAG_1"/>
      <w:bookmarkEnd w:id="133"/>
      <w:r>
        <w:rPr>
          <w:rFonts w:ascii="Times New Roman" w:hAnsi="Times New Roman" w:cs="Times New Roman"/>
          <w:color w:val="000000"/>
          <w:sz w:val="20"/>
          <w:szCs w:val="20"/>
        </w:rPr>
        <w:lastRenderedPageBreak/>
        <w:t>Because FEMA’s GRAS determinations are independent, they do not bind the FDA. It is standard practice, however, for food processors to rely upon FEMA’s GRAS determinations. The FDA has deferred to FEMA’s practice and has only rarely taken issue with a FEMA determination. Also, the FDA has relied upon FEMA’s determinations in promulgating its GRAS affirmations of various flavoring substances found at part 182 of title 21 of the Code of Federal Regulations.</w:t>
      </w:r>
      <w:bookmarkStart w:id="134" w:name="co_footnoteReference_F68101952054_ID0ELT"/>
      <w:bookmarkEnd w:id="13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68</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35" w:name="co_g_ID0ESTAG_1"/>
      <w:bookmarkEnd w:id="135"/>
      <w:r>
        <w:rPr>
          <w:rFonts w:ascii="Times New Roman" w:hAnsi="Times New Roman" w:cs="Times New Roman"/>
          <w:color w:val="000000"/>
          <w:sz w:val="20"/>
          <w:szCs w:val="20"/>
        </w:rPr>
        <w:t>The example set by FEMA is interesting. While FEMA’s far-reaching GRAS review might seem a challenge to the FDA’s authority and to the principal of premarket approval, the group’s scientific and professional approach to making thorough GRAS determinations actually has provided important assistance to the FDA in its efforts to implement the FAA efficiently. And, FEMA’s program is thoroughly consistent with the regulatory scheme envisioned by Congress in the 1958 Amendments.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36" w:name="co_g_ID0EEUAG_1"/>
      <w:bookmarkEnd w:id="136"/>
      <w:r>
        <w:rPr>
          <w:rFonts w:ascii="Times New Roman" w:hAnsi="Times New Roman" w:cs="Times New Roman"/>
          <w:b/>
          <w:bCs/>
          <w:color w:val="000000"/>
          <w:sz w:val="20"/>
          <w:szCs w:val="20"/>
        </w:rPr>
        <w:t>E. The Cyclamate Story and Refinements in the Regulation of GRAS Substances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37" w:name="co_g_ID0EOUAG_1"/>
      <w:bookmarkEnd w:id="137"/>
      <w:r>
        <w:rPr>
          <w:rFonts w:ascii="Times New Roman" w:hAnsi="Times New Roman" w:cs="Times New Roman"/>
          <w:color w:val="000000"/>
          <w:sz w:val="20"/>
          <w:szCs w:val="20"/>
        </w:rPr>
        <w:t xml:space="preserve">Two of the substances proposed as GRAS in December 1958, and codified as GRAS in November 1959, were calcium cyclohexyl sulfamate and sodium cyclohexyl sulfamate, better known as “cyclamates.” In 1969, the privately operated Food and Drug Research Laboratories completed a two-year feeding study in rats in which a ten-to-one mixture of sodium cyclamate and sodium saccharin was fed to rats at varying levels up to five percent of their daily diet. The study results showed an increased instance of bladder tumors in the dosed animals. The study was reviewed by the </w:t>
      </w:r>
      <w:bookmarkStart w:id="138" w:name="co_pp_sp_1661_568_1"/>
      <w:bookmarkEnd w:id="138"/>
      <w:r>
        <w:rPr>
          <w:rFonts w:ascii="Times New Roman" w:hAnsi="Times New Roman" w:cs="Times New Roman"/>
          <w:b/>
          <w:bCs/>
          <w:color w:val="000000"/>
          <w:sz w:val="20"/>
          <w:szCs w:val="20"/>
        </w:rPr>
        <w:t>*568</w:t>
      </w:r>
      <w:r>
        <w:rPr>
          <w:rFonts w:ascii="Times New Roman" w:hAnsi="Times New Roman" w:cs="Times New Roman"/>
          <w:color w:val="000000"/>
          <w:sz w:val="20"/>
          <w:szCs w:val="20"/>
        </w:rPr>
        <w:t xml:space="preserve"> National Cancer Institute (NCI) and the National Academy of Sciences (NAS). Experts at NCI and NAS concluded that the study implicated cyclamate as a possible carcinogen. Accordingly, on October 18, 1969, the FDA removed cyclamate from the GRAS list.</w:t>
      </w:r>
      <w:bookmarkStart w:id="139" w:name="co_footnoteReference_F69101952054_ID0EJV"/>
      <w:bookmarkEnd w:id="13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"#co_footnote_F69101952054_1"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69</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40" w:name="co_g_ID0EQVAG_1"/>
      <w:bookmarkEnd w:id="140"/>
      <w:r>
        <w:rPr>
          <w:rFonts w:ascii="Times New Roman" w:hAnsi="Times New Roman" w:cs="Times New Roman"/>
          <w:color w:val="000000"/>
          <w:sz w:val="20"/>
          <w:szCs w:val="20"/>
        </w:rPr>
        <w:t>For the first time it was apparent that substances widely used and uniformly considered to be safe could, overnight, have their safety called into question.</w:t>
      </w:r>
      <w:bookmarkStart w:id="141" w:name="co_footnoteReference_F70101952054_ID0EYV"/>
      <w:bookmarkEnd w:id="14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President Richard M. Nixon, in an effort to calm public concern over the presence of potentially carcinogenic additives in food, directed the FDA to begin a review of the safety of all GRAS substances.</w:t>
      </w:r>
      <w:bookmarkStart w:id="142" w:name="co_footnoteReference_F71101952054_ID0E4V"/>
      <w:bookmarkEnd w:id="14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As a result, the agency set out to re-evaluate and affirm the GRAS status of all the substances on its published GRAS lists, as well as substances that were considered GRAS by the agency or interested parties but were not on the FDA’s published list of GRAS substances.</w:t>
      </w:r>
      <w:bookmarkStart w:id="143" w:name="co_footnoteReference_F72101952054_ID0EBW"/>
      <w:bookmarkEnd w:id="14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72</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44" w:name="co_g_ID0EIWAG_1"/>
      <w:bookmarkEnd w:id="144"/>
      <w:r>
        <w:rPr>
          <w:rFonts w:ascii="Times New Roman" w:hAnsi="Times New Roman" w:cs="Times New Roman"/>
          <w:color w:val="000000"/>
          <w:sz w:val="20"/>
          <w:szCs w:val="20"/>
        </w:rPr>
        <w:t>The first step toward establishing the FDA’s GRAS review program was a December 8, 1970 proposed rule revising section 121.3 of title 21 of the Code of Federal Regulations to set forth criteria under which substances would or would not be classified as GRAS.</w:t>
      </w:r>
      <w:bookmarkStart w:id="145" w:name="co_footnoteReference_F73101952054_ID0EAX"/>
      <w:bookmarkEnd w:id="14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regulations were finalized on June 25, 1971.</w:t>
      </w:r>
      <w:bookmarkStart w:id="146" w:name="co_footnoteReference_F74101952054_ID0EFX"/>
      <w:bookmarkEnd w:id="14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the preamble to the final rule, the agency explained that a “current” review of GRAS substances was necessary because of “new scientific knowledge, the development of modern toxicological techniques, and the expanded usage of some GRAS substances beyond the exposure patterns when the GRAS list was originally promulgated.”</w:t>
      </w:r>
      <w:bookmarkStart w:id="147" w:name="co_footnoteReference_F75101952054_ID0ETX"/>
      <w:bookmarkEnd w:id="14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agency characterized the revision as “necessary to establish the general administrative plan for establishing substances as GRAS.”</w:t>
      </w:r>
      <w:bookmarkStart w:id="148" w:name="co_footnoteReference_F76101952054_ID0EAY"/>
      <w:bookmarkEnd w:id="14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49" w:name="co_g_ID0EHYAG_1"/>
      <w:bookmarkEnd w:id="149"/>
      <w:r>
        <w:rPr>
          <w:rFonts w:ascii="Times New Roman" w:hAnsi="Times New Roman" w:cs="Times New Roman"/>
          <w:color w:val="000000"/>
          <w:sz w:val="20"/>
          <w:szCs w:val="20"/>
        </w:rPr>
        <w:t>The final rule provided that experts generally could conclude that a substance is safe only if:</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[on] the basis of scientific data derived from published literature, available to experts generally, reporting on credible toxicological testing, or for those substances used in food prior to January 1, 1958, on the basis of reasoned judgment founded in experience with common food use, the substance is recognized to have no significant risk of harm if used as intended taking into account in either case: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proofErr w:type="gramStart"/>
      <w:r>
        <w:rPr>
          <w:rFonts w:ascii="Times New Roman" w:hAnsi="Times New Roman" w:cs="Times New Roman"/>
          <w:color w:val="000000"/>
          <w:sz w:val="20"/>
          <w:szCs w:val="20"/>
        </w:rPr>
        <w:t>reasonably</w:t>
      </w:r>
      <w:proofErr w:type="gramEnd"/>
      <w:r>
        <w:rPr>
          <w:rFonts w:ascii="Times New Roman" w:hAnsi="Times New Roman" w:cs="Times New Roman"/>
          <w:color w:val="000000"/>
          <w:sz w:val="20"/>
          <w:szCs w:val="20"/>
        </w:rPr>
        <w:t xml:space="preserve"> anticipated patterns of consumption of the substance and of any substance formed in or on food because of the use of the substance;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50" w:name="co_pp_sp_1661_569_1"/>
      <w:bookmarkEnd w:id="150"/>
      <w:r>
        <w:rPr>
          <w:rFonts w:ascii="Times New Roman" w:hAnsi="Times New Roman" w:cs="Times New Roman"/>
          <w:b/>
          <w:bCs/>
          <w:color w:val="000000"/>
          <w:sz w:val="20"/>
          <w:szCs w:val="20"/>
        </w:rPr>
        <w:t>*569</w:t>
      </w:r>
      <w:r>
        <w:rPr>
          <w:rFonts w:ascii="Times New Roman" w:hAnsi="Times New Roman" w:cs="Times New Roman"/>
          <w:color w:val="000000"/>
          <w:sz w:val="20"/>
          <w:szCs w:val="20"/>
        </w:rPr>
        <w:t xml:space="preserve"> (2) the cumulative effect of the substance, and any chemically or pharmacologically related substance in the diet of man or animals; and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 xml:space="preserve">(3) </w:t>
      </w:r>
      <w:proofErr w:type="gramStart"/>
      <w:r>
        <w:rPr>
          <w:rFonts w:ascii="Times New Roman" w:hAnsi="Times New Roman" w:cs="Times New Roman"/>
          <w:color w:val="000000"/>
          <w:sz w:val="20"/>
          <w:szCs w:val="20"/>
        </w:rPr>
        <w:t>safety</w:t>
      </w:r>
      <w:proofErr w:type="gramEnd"/>
      <w:r>
        <w:rPr>
          <w:rFonts w:ascii="Times New Roman" w:hAnsi="Times New Roman" w:cs="Times New Roman"/>
          <w:color w:val="000000"/>
          <w:sz w:val="20"/>
          <w:szCs w:val="20"/>
        </w:rPr>
        <w:t xml:space="preserve"> factors appropriate for the utilization of animal experimentation data.</w:t>
      </w:r>
      <w:bookmarkStart w:id="151" w:name="co_footnoteReference_F77101952054_ID0EXZ"/>
      <w:bookmarkEnd w:id="15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77</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The enumerated considerations mirror the factors specified in section 409(c</w:t>
      </w:r>
      <w:proofErr w:type="gramStart"/>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5) of the Act for determining whether the intended use of a food additive is safe.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52" w:name="co_g_ID0EL1AG_1"/>
      <w:bookmarkEnd w:id="152"/>
      <w:r>
        <w:rPr>
          <w:rFonts w:ascii="Times New Roman" w:hAnsi="Times New Roman" w:cs="Times New Roman"/>
          <w:color w:val="000000"/>
          <w:sz w:val="20"/>
          <w:szCs w:val="20"/>
        </w:rPr>
        <w:t>The regulation also reflected the agency view that there were various classes, or gradations, of GRAS substances.</w:t>
      </w:r>
      <w:bookmarkStart w:id="153" w:name="co_footnoteReference_F78101952054_ID0ET1"/>
      <w:bookmarkEnd w:id="15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first group of GRAS substances were those the agency considered not to be in need of review by outside experts. This group </w:t>
      </w:r>
      <w:r>
        <w:rPr>
          <w:rFonts w:ascii="Times New Roman" w:hAnsi="Times New Roman" w:cs="Times New Roman"/>
          <w:color w:val="000000"/>
          <w:sz w:val="20"/>
          <w:szCs w:val="20"/>
        </w:rPr>
        <w:lastRenderedPageBreak/>
        <w:t>included those substances of “natural biological origin consumed primarily for nutrient properties prior to January 1, 1958.”</w:t>
      </w:r>
      <w:bookmarkStart w:id="154" w:name="co_footnoteReference_F79101952054_ID0EE2"/>
      <w:bookmarkEnd w:id="15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"#co_footnote_F79101952054_1"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79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Among this group were such common food products as corn oil, bay leaves, molasses, mustard, etc. Any of these foods which were modified by a conventional food process “as practiced prior to January 1, 1958,” were also considered by the agency to be GRAS and not in need of further review.</w:t>
      </w:r>
      <w:bookmarkStart w:id="155" w:name="co_footnoteReference_F80101952054_ID0EU2"/>
      <w:bookmarkEnd w:id="15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80</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56" w:name="co_g_ID0E22AG_1"/>
      <w:bookmarkEnd w:id="156"/>
      <w:r>
        <w:rPr>
          <w:rFonts w:ascii="Times New Roman" w:hAnsi="Times New Roman" w:cs="Times New Roman"/>
          <w:color w:val="000000"/>
          <w:sz w:val="20"/>
          <w:szCs w:val="20"/>
        </w:rPr>
        <w:t>The regulations went on to establish five categories of substances which were “eligible” for continued GRAS classification, provided convincing evidence of general recognition of their safety was secured by the agency. The five categories included: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proofErr w:type="gramStart"/>
      <w:r>
        <w:rPr>
          <w:rFonts w:ascii="Times New Roman" w:hAnsi="Times New Roman" w:cs="Times New Roman"/>
          <w:color w:val="000000"/>
          <w:sz w:val="20"/>
          <w:szCs w:val="20"/>
        </w:rPr>
        <w:t>substances</w:t>
      </w:r>
      <w:proofErr w:type="gramEnd"/>
      <w:r>
        <w:rPr>
          <w:rFonts w:ascii="Times New Roman" w:hAnsi="Times New Roman" w:cs="Times New Roman"/>
          <w:color w:val="000000"/>
          <w:sz w:val="20"/>
          <w:szCs w:val="20"/>
        </w:rPr>
        <w:t xml:space="preserve"> modified by processes first in use after January 1, 1958, if such processes were reasonably expected to alter the composition of the substance;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 xml:space="preserve">2. </w:t>
      </w:r>
      <w:proofErr w:type="gramStart"/>
      <w:r>
        <w:rPr>
          <w:rFonts w:ascii="Times New Roman" w:hAnsi="Times New Roman" w:cs="Times New Roman"/>
          <w:color w:val="000000"/>
          <w:sz w:val="20"/>
          <w:szCs w:val="20"/>
        </w:rPr>
        <w:t>substances</w:t>
      </w:r>
      <w:proofErr w:type="gramEnd"/>
      <w:r>
        <w:rPr>
          <w:rFonts w:ascii="Times New Roman" w:hAnsi="Times New Roman" w:cs="Times New Roman"/>
          <w:color w:val="000000"/>
          <w:sz w:val="20"/>
          <w:szCs w:val="20"/>
        </w:rPr>
        <w:t xml:space="preserve"> which had been subjected to breeding or selection likely to alter to a significant degree the nutritive value of the product, or the concentration of toxic constituents therein;</w:t>
      </w:r>
      <w:bookmarkStart w:id="157" w:name="co_footnoteReference_F81101952054_ID0EY3"/>
      <w:bookmarkEnd w:id="15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81</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proofErr w:type="gramStart"/>
      <w:r>
        <w:rPr>
          <w:rFonts w:ascii="Times New Roman" w:hAnsi="Times New Roman" w:cs="Times New Roman"/>
          <w:color w:val="000000"/>
          <w:sz w:val="20"/>
          <w:szCs w:val="20"/>
        </w:rPr>
        <w:t>substances</w:t>
      </w:r>
      <w:proofErr w:type="gramEnd"/>
      <w:r>
        <w:rPr>
          <w:rFonts w:ascii="Times New Roman" w:hAnsi="Times New Roman" w:cs="Times New Roman"/>
          <w:color w:val="000000"/>
          <w:sz w:val="20"/>
          <w:szCs w:val="20"/>
        </w:rPr>
        <w:t xml:space="preserve"> resulting from the distillation, isolation, extraction, or concentration of extracts of substances considered GRAS;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proofErr w:type="gramStart"/>
      <w:r>
        <w:rPr>
          <w:rFonts w:ascii="Times New Roman" w:hAnsi="Times New Roman" w:cs="Times New Roman"/>
          <w:color w:val="000000"/>
          <w:sz w:val="20"/>
          <w:szCs w:val="20"/>
        </w:rPr>
        <w:t>substances</w:t>
      </w:r>
      <w:proofErr w:type="gramEnd"/>
      <w:r>
        <w:rPr>
          <w:rFonts w:ascii="Times New Roman" w:hAnsi="Times New Roman" w:cs="Times New Roman"/>
          <w:color w:val="000000"/>
          <w:sz w:val="20"/>
          <w:szCs w:val="20"/>
        </w:rPr>
        <w:t xml:space="preserve"> not of natural, biological origin and which were identical to a GRAS counterpart of natural, biological origin; and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58" w:name="co_pp_sp_1661_570_1"/>
      <w:bookmarkEnd w:id="158"/>
      <w:r>
        <w:rPr>
          <w:rFonts w:ascii="Times New Roman" w:hAnsi="Times New Roman" w:cs="Times New Roman"/>
          <w:b/>
          <w:bCs/>
          <w:color w:val="000000"/>
          <w:sz w:val="20"/>
          <w:szCs w:val="20"/>
        </w:rPr>
        <w:t>*570</w:t>
      </w:r>
      <w:r>
        <w:rPr>
          <w:rFonts w:ascii="Times New Roman" w:hAnsi="Times New Roman" w:cs="Times New Roman"/>
          <w:color w:val="000000"/>
          <w:sz w:val="20"/>
          <w:szCs w:val="20"/>
        </w:rPr>
        <w:t xml:space="preserve"> 5. </w:t>
      </w:r>
      <w:proofErr w:type="gramStart"/>
      <w:r>
        <w:rPr>
          <w:rFonts w:ascii="Times New Roman" w:hAnsi="Times New Roman" w:cs="Times New Roman"/>
          <w:color w:val="000000"/>
          <w:sz w:val="20"/>
          <w:szCs w:val="20"/>
        </w:rPr>
        <w:t>substances</w:t>
      </w:r>
      <w:proofErr w:type="gramEnd"/>
      <w:r>
        <w:rPr>
          <w:rFonts w:ascii="Times New Roman" w:hAnsi="Times New Roman" w:cs="Times New Roman"/>
          <w:color w:val="000000"/>
          <w:sz w:val="20"/>
          <w:szCs w:val="20"/>
        </w:rPr>
        <w:t xml:space="preserve"> of natural, biological origin intended for consumption for other than their nutrient properties.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59" w:name="co_g_ID0E64AG_1"/>
      <w:bookmarkEnd w:id="159"/>
      <w:r>
        <w:rPr>
          <w:rFonts w:ascii="Times New Roman" w:hAnsi="Times New Roman" w:cs="Times New Roman"/>
          <w:color w:val="000000"/>
          <w:sz w:val="20"/>
          <w:szCs w:val="20"/>
        </w:rPr>
        <w:t>Section 121.3(c) of the final rule provided that substances not falling within any of the foregoing five categories would not be “eligible” for GRAS status and, therefore, would require a food additive approval. The section also provided, in rather draconian terms, that if a substance had no history of food use or if the substance required prescribed limitations for its safe use, it would not be eligible for GRAS status.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60" w:name="co_g_ID0EV5AG_1"/>
      <w:bookmarkEnd w:id="160"/>
      <w:r>
        <w:rPr>
          <w:rFonts w:ascii="Times New Roman" w:hAnsi="Times New Roman" w:cs="Times New Roman"/>
          <w:color w:val="000000"/>
          <w:sz w:val="20"/>
          <w:szCs w:val="20"/>
        </w:rPr>
        <w:t xml:space="preserve">The contrast between section 121.3 as revised by the 1972 final rule and the section as originally published in March 1959 is striking. Initially, the section was entitled “Substances Added to Food </w:t>
      </w:r>
      <w:proofErr w:type="gramStart"/>
      <w:r>
        <w:rPr>
          <w:rFonts w:ascii="Times New Roman" w:hAnsi="Times New Roman" w:cs="Times New Roman"/>
          <w:color w:val="000000"/>
          <w:sz w:val="20"/>
          <w:szCs w:val="20"/>
        </w:rPr>
        <w:t>Which</w:t>
      </w:r>
      <w:proofErr w:type="gramEnd"/>
      <w:r>
        <w:rPr>
          <w:rFonts w:ascii="Times New Roman" w:hAnsi="Times New Roman" w:cs="Times New Roman"/>
          <w:color w:val="000000"/>
          <w:sz w:val="20"/>
          <w:szCs w:val="20"/>
        </w:rPr>
        <w:t xml:space="preserve"> are not Generally Recognized as Safe and Substances that are Generally Recognized as Safe.” The 1972 section was entitled “Eligibility for Classification as Generally Recognized as Safe.” As originally published in 1959, the section made no effort to define, categorize, or detail the specific criteria considered applicable to determining whether a substance is, indeed, GRAS. By comparison, the 1971 regulation adopted criteria for establishing whether a substance was, in fact, GRAS. The regulation also made categorical distinctions, reflecting the FDA’s view that foods of biological origin were different, for GRAS purposes, from other foods, and that a substance derived from a GRAS substance is eligible for GRAS consideration, whereas other “new substances” are not.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61" w:name="co_g_ID0EKABG_1"/>
      <w:bookmarkEnd w:id="161"/>
      <w:r>
        <w:rPr>
          <w:rFonts w:ascii="Times New Roman" w:hAnsi="Times New Roman" w:cs="Times New Roman"/>
          <w:color w:val="000000"/>
          <w:sz w:val="20"/>
          <w:szCs w:val="20"/>
        </w:rPr>
        <w:t>The 1971 regulation marks a turning point in the agency’s regulation of GRAS substances. At a maximum, as some experts surmised at the time, the regulation limited the GRAS category to substances used in food prior to 1958 and provided that the “only mobility with respect to GRAS status is loss of that status.”</w:t>
      </w:r>
      <w:bookmarkStart w:id="162" w:name="co_footnoteReference_F82101952054_ID0E5A"/>
      <w:bookmarkEnd w:id="16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At a minimum, the regulation represented a refined, narrowed view of what the agency would formally recognize a GRAS substance to be. The lack of specificity in the terminology “generally recognized as safe” had permitted the agency to replace the notion of flexibility that so pervaded the early implementation of the Amendment with the notion of formal, rigid categorization.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63" w:name="co_g_ID0EKBBG_1"/>
      <w:bookmarkEnd w:id="163"/>
      <w:r>
        <w:rPr>
          <w:rFonts w:ascii="Times New Roman" w:hAnsi="Times New Roman" w:cs="Times New Roman"/>
          <w:b/>
          <w:bCs/>
          <w:color w:val="000000"/>
          <w:sz w:val="20"/>
          <w:szCs w:val="20"/>
        </w:rPr>
        <w:t>F. Further Developments and Refinements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64" w:name="co_g_ID0EUBBG_1"/>
      <w:bookmarkEnd w:id="164"/>
      <w:r>
        <w:rPr>
          <w:rFonts w:ascii="Times New Roman" w:hAnsi="Times New Roman" w:cs="Times New Roman"/>
          <w:color w:val="000000"/>
          <w:sz w:val="20"/>
          <w:szCs w:val="20"/>
        </w:rPr>
        <w:t xml:space="preserve">The change in FDA’s approach to applying the GRAS concept was made even </w:t>
      </w:r>
      <w:proofErr w:type="gramStart"/>
      <w:r>
        <w:rPr>
          <w:rFonts w:ascii="Times New Roman" w:hAnsi="Times New Roman" w:cs="Times New Roman"/>
          <w:color w:val="000000"/>
          <w:sz w:val="20"/>
          <w:szCs w:val="20"/>
        </w:rPr>
        <w:t>more clear</w:t>
      </w:r>
      <w:proofErr w:type="gramEnd"/>
      <w:r>
        <w:rPr>
          <w:rFonts w:ascii="Times New Roman" w:hAnsi="Times New Roman" w:cs="Times New Roman"/>
          <w:color w:val="000000"/>
          <w:sz w:val="20"/>
          <w:szCs w:val="20"/>
        </w:rPr>
        <w:t xml:space="preserve"> with the publication of a proposal on September 23, 1974, to further amend the criteria for determining GRAS status and the procedures for affirming the GRAS status of substances.</w:t>
      </w:r>
      <w:bookmarkStart w:id="165" w:name="co_footnoteReference_F83101952054_ID0E3B"/>
      <w:bookmarkEnd w:id="16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new, more structured approach to regulating GRAS substances, as taken by the agency in 1971, had been reinforced by the 1973 Supreme Court in Weinberger </w:t>
      </w:r>
      <w:bookmarkStart w:id="166" w:name="co_pp_sp_1661_571_1"/>
      <w:bookmarkEnd w:id="166"/>
      <w:r>
        <w:rPr>
          <w:rFonts w:ascii="Times New Roman" w:hAnsi="Times New Roman" w:cs="Times New Roman"/>
          <w:b/>
          <w:bCs/>
          <w:color w:val="000000"/>
          <w:sz w:val="20"/>
          <w:szCs w:val="20"/>
        </w:rPr>
        <w:t>*571</w:t>
      </w:r>
      <w:r>
        <w:rPr>
          <w:rFonts w:ascii="Times New Roman" w:hAnsi="Times New Roman" w:cs="Times New Roman"/>
          <w:color w:val="000000"/>
          <w:sz w:val="20"/>
          <w:szCs w:val="20"/>
        </w:rPr>
        <w:t xml:space="preserve"> v. Hynson, Westcott &amp; Dunning, Inc.</w:t>
      </w:r>
      <w:proofErr w:type="gramStart"/>
      <w:r>
        <w:rPr>
          <w:rFonts w:ascii="Times New Roman" w:hAnsi="Times New Roman" w:cs="Times New Roman"/>
          <w:color w:val="000000"/>
          <w:sz w:val="20"/>
          <w:szCs w:val="20"/>
        </w:rPr>
        <w:t>,</w:t>
      </w:r>
      <w:bookmarkStart w:id="167" w:name="co_footnoteReference_F84101952054_ID0EEC"/>
      <w:bookmarkEnd w:id="167"/>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where the Court held, among other things, that the scientific inquiry regarding the effectiveness of GRAS drugs had to conform to the requirements of new drugs under section 505(b) of the Act.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68" w:name="co_g_ID0ENCBG_1"/>
      <w:bookmarkEnd w:id="168"/>
      <w:r>
        <w:rPr>
          <w:rFonts w:ascii="Times New Roman" w:hAnsi="Times New Roman" w:cs="Times New Roman"/>
          <w:color w:val="000000"/>
          <w:sz w:val="20"/>
          <w:szCs w:val="20"/>
        </w:rPr>
        <w:t>In its September 1974 proposal, the agency drew an analogy between sections 409 and 505, and concluded that Congress intended the phrase “scientific procedures” as used in section 201(s) of the Act to have the same dimensions as the “full reports of investigations” requirement for proof of the safety of a food additive under section 409 of the Act.</w:t>
      </w:r>
      <w:bookmarkStart w:id="169" w:name="co_footnoteReference_F85101952054_ID0EVC"/>
      <w:bookmarkEnd w:id="16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Thus, general recognition of safety on the basis of scientific procedures under section 201(s) would require the same quantity and quality of scientific </w:t>
      </w:r>
      <w:r>
        <w:rPr>
          <w:rFonts w:ascii="Times New Roman" w:hAnsi="Times New Roman" w:cs="Times New Roman"/>
          <w:color w:val="000000"/>
          <w:sz w:val="20"/>
          <w:szCs w:val="20"/>
        </w:rPr>
        <w:lastRenderedPageBreak/>
        <w:t>evidence as required for approving the safety of a food additive under section 409.</w:t>
      </w:r>
      <w:bookmarkStart w:id="170" w:name="co_footnoteReference_F86101952054_ID0EZC"/>
      <w:bookmarkEnd w:id="17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71" w:name="co_g_ID0EADBG_1"/>
      <w:bookmarkEnd w:id="171"/>
      <w:r>
        <w:rPr>
          <w:rFonts w:ascii="Times New Roman" w:hAnsi="Times New Roman" w:cs="Times New Roman"/>
          <w:color w:val="000000"/>
          <w:sz w:val="20"/>
          <w:szCs w:val="20"/>
        </w:rPr>
        <w:t>The agency’s change in approach to the regulation of GRAS substances was dramatic. The focus had shifted from the “general recognition” by scientists of a given substance as safe, to an assessment of whether the substance met the FDA’s standards for approval of a food additive. This shift is reflected in the specific provisions of the proposal, which included: 1) requiring that general recognition of safety through scientific procedures must ordinarily be based on published literature, 2) establishing that GRAS status based on scientific procedures requires the same quality and quantity of scientific evidence necessary for approval of a food additive regulation, 3) acknowledging that GRAS status based on common use in food does not require the same quality and quantity of scientific evidence that would be required for the approval of a food additive regulation, 4) establishing three categories of ingredients affirmed as GRAS—those subject to no limitations other than good manufacturing practice; those subject to specific limitations concerning functional use, intended use, and level of use; and those limited to a specific permissible use;—and 5) requiring that GRAS affirmation proceedings include a consideration of the manufacturing processes involved. The proposed changes were finalized on December 7, 1976.</w:t>
      </w:r>
      <w:bookmarkStart w:id="172" w:name="co_footnoteReference_F87101952054_ID0ERD"/>
      <w:bookmarkEnd w:id="17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Their effect was to further limit the applicability of the GRAS exemption and to further formalize the GRAS affirmation process.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73" w:name="co_g_ID0E1DBG_1"/>
      <w:bookmarkEnd w:id="173"/>
      <w:r>
        <w:rPr>
          <w:rFonts w:ascii="Times New Roman" w:hAnsi="Times New Roman" w:cs="Times New Roman"/>
          <w:b/>
          <w:bCs/>
          <w:color w:val="000000"/>
          <w:sz w:val="20"/>
          <w:szCs w:val="20"/>
        </w:rPr>
        <w:t>G. The GRAS Petition Process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74" w:name="co_g_ID0EEEBG_1"/>
      <w:bookmarkEnd w:id="174"/>
      <w:r>
        <w:rPr>
          <w:rFonts w:ascii="Times New Roman" w:hAnsi="Times New Roman" w:cs="Times New Roman"/>
          <w:color w:val="000000"/>
          <w:sz w:val="20"/>
          <w:szCs w:val="20"/>
        </w:rPr>
        <w:t>In conjunction with the regulations setting forth criteria for determining GRAS status, in the early 1970s the FDA published procedures for petitioning the agency to “affirm” the GRAS status of a substance.</w:t>
      </w:r>
      <w:bookmarkStart w:id="175" w:name="co_footnoteReference_F88101952054_ID0EME"/>
      <w:bookmarkEnd w:id="17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a </w:t>
      </w:r>
      <w:bookmarkStart w:id="176" w:name="co_pp_sp_1661_572_1"/>
      <w:bookmarkEnd w:id="176"/>
      <w:r>
        <w:rPr>
          <w:rFonts w:ascii="Times New Roman" w:hAnsi="Times New Roman" w:cs="Times New Roman"/>
          <w:b/>
          <w:bCs/>
          <w:color w:val="000000"/>
          <w:sz w:val="20"/>
          <w:szCs w:val="20"/>
        </w:rPr>
        <w:t>*572</w:t>
      </w:r>
      <w:r>
        <w:rPr>
          <w:rFonts w:ascii="Times New Roman" w:hAnsi="Times New Roman" w:cs="Times New Roman"/>
          <w:color w:val="000000"/>
          <w:sz w:val="20"/>
          <w:szCs w:val="20"/>
        </w:rPr>
        <w:t xml:space="preserve"> GRAS affirmation petition, a manufacturer, in effect, requests the FDA to concur with the manufacturer’s independent determination that a substance is GRAS.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77" w:name="co_g_ID0E1EBG_1"/>
      <w:bookmarkEnd w:id="177"/>
      <w:r>
        <w:rPr>
          <w:rFonts w:ascii="Times New Roman" w:hAnsi="Times New Roman" w:cs="Times New Roman"/>
          <w:color w:val="000000"/>
          <w:sz w:val="20"/>
          <w:szCs w:val="20"/>
        </w:rPr>
        <w:t>The regulations provide that a petition may be filed prior to marketing. This is sometimes done in response to customer demands that a new substance or new use of an existing substance gain some form of recognition by the FDA. A petition may also be filed on a material that is already being marketed. This is sometimes done in response to the FDA’s raising a question about the material’s GRAS status.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78" w:name="co_g_ID0EPFBG_1"/>
      <w:bookmarkEnd w:id="178"/>
      <w:r>
        <w:rPr>
          <w:rFonts w:ascii="Times New Roman" w:hAnsi="Times New Roman" w:cs="Times New Roman"/>
          <w:color w:val="000000"/>
          <w:sz w:val="20"/>
          <w:szCs w:val="20"/>
        </w:rPr>
        <w:t>Upon receipt of a GRAS petition, the FDA conducts a preliminary review to verify that the petition contains the required information. If the petition is complete, the FDA accepts it for filing and publishes a notice to that effect in the Federal Register.</w:t>
      </w:r>
      <w:bookmarkStart w:id="179" w:name="co_footnoteReference_F89101952054_ID0E1F"/>
      <w:bookmarkEnd w:id="17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"#co_footnote_F89101952054_1"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89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At this stage, the FDA stresses that it has made no determination of the substance’s GRAS status, and that—strictly as a legal matter—the substance’s status is the same as any substance whose sponsor has made an independent GRAS determination, i.e., the sponsor is free to market it subject to the risk that the FDA will object and may halt its marketing on the ground that it is an unapproved food additive.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80" w:name="co_g_ID0EDGBG_1"/>
      <w:bookmarkEnd w:id="180"/>
      <w:r>
        <w:rPr>
          <w:rFonts w:ascii="Times New Roman" w:hAnsi="Times New Roman" w:cs="Times New Roman"/>
          <w:color w:val="000000"/>
          <w:sz w:val="20"/>
          <w:szCs w:val="20"/>
        </w:rPr>
        <w:t>As a practical matter, however, substances for which a GRAS petition has been accepted for filing are on a different footing. The filing of a petition is often enough to hold in abeyance an FDA challenge to an already marketed substance. For substances not yet on the market, the filing of a petition may be enough to gain customer acceptance of a substance that is avoiding the food additive petition process on the basis of its sponsor</w:t>
      </w:r>
      <w:proofErr w:type="gramStart"/>
      <w:r>
        <w:rPr>
          <w:rFonts w:ascii="Times New Roman" w:hAnsi="Times New Roman" w:cs="Times New Roman"/>
          <w:color w:val="000000"/>
          <w:sz w:val="20"/>
          <w:szCs w:val="20"/>
        </w:rPr>
        <w:t>,s</w:t>
      </w:r>
      <w:proofErr w:type="gramEnd"/>
      <w:r>
        <w:rPr>
          <w:rFonts w:ascii="Times New Roman" w:hAnsi="Times New Roman" w:cs="Times New Roman"/>
          <w:color w:val="000000"/>
          <w:sz w:val="20"/>
          <w:szCs w:val="20"/>
        </w:rPr>
        <w:t xml:space="preserve"> independent GRAS determination. The FDA is unlikely to challenge marketing of a substance for which a GRAS petition has been accepted for filing. Various enzyme systems used in food processing have gained market entry in this manner.</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81" w:name="co_g_ID0E2GBG_1"/>
      <w:bookmarkEnd w:id="181"/>
      <w:r>
        <w:rPr>
          <w:rFonts w:ascii="Times New Roman" w:hAnsi="Times New Roman" w:cs="Times New Roman"/>
          <w:b/>
          <w:bCs/>
          <w:color w:val="000000"/>
          <w:sz w:val="20"/>
          <w:szCs w:val="20"/>
        </w:rPr>
        <w:t>H. Judicial Construction of the Meaning of “Generally Recognized as Safe”</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82" w:name="co_g_ID0EFHBG_1"/>
      <w:bookmarkEnd w:id="182"/>
      <w:r>
        <w:rPr>
          <w:rFonts w:ascii="Times New Roman" w:hAnsi="Times New Roman" w:cs="Times New Roman"/>
          <w:b/>
          <w:bCs/>
          <w:color w:val="000000"/>
          <w:sz w:val="20"/>
          <w:szCs w:val="20"/>
        </w:rPr>
        <w:t>1. Overview</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183" w:name="co_g_ID0EPHBG_1"/>
      <w:bookmarkEnd w:id="183"/>
      <w:r>
        <w:rPr>
          <w:rFonts w:ascii="Times New Roman" w:hAnsi="Times New Roman" w:cs="Times New Roman"/>
          <w:color w:val="000000"/>
          <w:sz w:val="20"/>
          <w:szCs w:val="20"/>
        </w:rPr>
        <w:t xml:space="preserve">The cyclamate episode in 1969 provided much of the impetus for the change in the FDA’s approach to the GRAS concept during the early-to-mid 1970s. In addition, during the years between 1958 and 1975, the FDA brought numerous enforcement actions against articles under the new drug and food additive provisions of the Act. These cases helped establish how to prove that a substance is not one that is “generally recognized as safe.” The primary manner in which the agency won these cases was by documenting the absence of scientific studies and data on which </w:t>
      </w:r>
      <w:bookmarkStart w:id="184" w:name="co_pp_sp_1661_573_1"/>
      <w:bookmarkEnd w:id="184"/>
      <w:r>
        <w:rPr>
          <w:rFonts w:ascii="Times New Roman" w:hAnsi="Times New Roman" w:cs="Times New Roman"/>
          <w:b/>
          <w:bCs/>
          <w:color w:val="000000"/>
          <w:sz w:val="20"/>
          <w:szCs w:val="20"/>
        </w:rPr>
        <w:t>*573</w:t>
      </w:r>
      <w:r>
        <w:rPr>
          <w:rFonts w:ascii="Times New Roman" w:hAnsi="Times New Roman" w:cs="Times New Roman"/>
          <w:color w:val="000000"/>
          <w:sz w:val="20"/>
          <w:szCs w:val="20"/>
        </w:rPr>
        <w:t xml:space="preserve"> the finding of general recognition could be made. As a result of litigation practicalities, the agency’s focus on GRAS determinations became far more formalistic and legalistic than in 1958.</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185" w:name="co_g_ID0EMIBG_1"/>
      <w:bookmarkEnd w:id="185"/>
      <w:r>
        <w:rPr>
          <w:rFonts w:ascii="Times New Roman" w:hAnsi="Times New Roman" w:cs="Times New Roman"/>
          <w:b/>
          <w:bCs/>
          <w:color w:val="000000"/>
          <w:sz w:val="20"/>
          <w:szCs w:val="20"/>
        </w:rPr>
        <w:lastRenderedPageBreak/>
        <w:t>2. Case Law</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86" w:name="co_g_ID0EWIBG_1"/>
      <w:bookmarkEnd w:id="186"/>
      <w:r>
        <w:rPr>
          <w:rFonts w:ascii="Times New Roman" w:hAnsi="Times New Roman" w:cs="Times New Roman"/>
          <w:color w:val="000000"/>
          <w:sz w:val="20"/>
          <w:szCs w:val="20"/>
        </w:rPr>
        <w:t>As discussed above, during the hearings leading up to the enactment of the FAA, the words “generally recognized as safe” were objected to by industry representatives. FDA spokespersons defended the terminology as being consistent with the standards seized upon by the 1938 Congress in enacting the “new drug” definition. When pressed, however, the agency representatives acknowledged that the “generally recognized” provision of the “new drug” definition had never been interpreted or construed by the courts.</w:t>
      </w:r>
      <w:bookmarkStart w:id="187" w:name="co_footnoteReference_F90101952054_ID0EDJ"/>
      <w:bookmarkEnd w:id="18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90</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88" w:name="co_g_ID0EKJBG_1"/>
      <w:bookmarkEnd w:id="188"/>
      <w:r>
        <w:rPr>
          <w:rFonts w:ascii="Times New Roman" w:hAnsi="Times New Roman" w:cs="Times New Roman"/>
          <w:color w:val="000000"/>
          <w:sz w:val="20"/>
          <w:szCs w:val="20"/>
        </w:rPr>
        <w:t>The first case to interpret the GRAS language of the “new drug” definition was not decided until late May 1958, three months prior to the passage of the FAA.</w:t>
      </w:r>
      <w:bookmarkStart w:id="189" w:name="co_footnoteReference_F91101952054_ID0ESJ"/>
      <w:bookmarkEnd w:id="18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case involved an effort by the Merritt Corporation to restrain the FDA from instituting multiple seizures against the drug clarimycin. Merritt alleged that the drug was generally recognized as safe for the treatment of acne and, thus, not a “new drug.” In defense of its position, Merritt submitted to the court medical affidavits of physicians. In response, witnesses on behalf of the government submitted affidavits in which they concluded the drug was not GRAS. The court found that a genuine difference of medical opinion among experts existed on the question of whether the drug was GRAS and that, therefore, “it must be concluded that the drug is not generally recognized as safe for use in the treatment” of acne.</w:t>
      </w:r>
      <w:bookmarkStart w:id="190" w:name="co_footnoteReference_F92101952054_ID0EMK"/>
      <w:bookmarkEnd w:id="19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 similar decision was reached a year later by a district court in New Jersey. That court found that a difference of opinion between experts established that a drug did not have the general recognition of safety required to take it outside the statutory definition of a new drug.</w:t>
      </w:r>
      <w:bookmarkStart w:id="191" w:name="co_footnoteReference_F93101952054_ID0ETK"/>
      <w:bookmarkEnd w:id="19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93</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92" w:name="co_g_ID0E1KBG_1"/>
      <w:bookmarkEnd w:id="192"/>
      <w:r>
        <w:rPr>
          <w:rFonts w:ascii="Times New Roman" w:hAnsi="Times New Roman" w:cs="Times New Roman"/>
          <w:color w:val="000000"/>
          <w:sz w:val="20"/>
          <w:szCs w:val="20"/>
        </w:rPr>
        <w:t>Between 1960 and the mid-1970s the legal criteria for determining a lack of general recognition were refined in numerous cases.</w:t>
      </w:r>
      <w:bookmarkStart w:id="193" w:name="co_footnoteReference_F94101952054_ID0ECL"/>
      <w:bookmarkEnd w:id="19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Most of the </w:t>
      </w:r>
      <w:bookmarkStart w:id="194" w:name="co_pp_sp_1661_574_1"/>
      <w:bookmarkEnd w:id="194"/>
      <w:r>
        <w:rPr>
          <w:rFonts w:ascii="Times New Roman" w:hAnsi="Times New Roman" w:cs="Times New Roman"/>
          <w:b/>
          <w:bCs/>
          <w:color w:val="000000"/>
          <w:sz w:val="20"/>
          <w:szCs w:val="20"/>
        </w:rPr>
        <w:t>*574</w:t>
      </w:r>
      <w:r>
        <w:rPr>
          <w:rFonts w:ascii="Times New Roman" w:hAnsi="Times New Roman" w:cs="Times New Roman"/>
          <w:color w:val="000000"/>
          <w:sz w:val="20"/>
          <w:szCs w:val="20"/>
        </w:rPr>
        <w:t xml:space="preserve"> cases involved either drugs for use in humans or drugs for use in animals.</w:t>
      </w:r>
      <w:bookmarkStart w:id="195" w:name="co_footnoteReference_F95101952054_ID0ELL"/>
      <w:bookmarkEnd w:id="19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95</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196" w:name="co_g_ID0ESLBG_1"/>
      <w:bookmarkEnd w:id="196"/>
      <w:r>
        <w:rPr>
          <w:rFonts w:ascii="Times New Roman" w:hAnsi="Times New Roman" w:cs="Times New Roman"/>
          <w:color w:val="000000"/>
          <w:sz w:val="20"/>
          <w:szCs w:val="20"/>
        </w:rPr>
        <w:t>The cases establish that unanimity among experts is not necessary to show that a substance is, in fact, GRAS.</w:t>
      </w:r>
      <w:bookmarkStart w:id="197" w:name="co_footnoteReference_F96101952054_ID0E1L"/>
      <w:bookmarkEnd w:id="19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96</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cases instruct that the focus of an inquiry regarding a product’s general recognition is “not to determine actual safety ... but to ascertain the ... product’s general reputation in the scientific community for such characteristics.”</w:t>
      </w:r>
      <w:bookmarkStart w:id="198" w:name="co_footnoteReference_F97101952054_ID0EOM"/>
      <w:bookmarkEnd w:id="19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Accordingly, where the agency successfully established that a “genuine dispute” among experts existed, with rare exception, courts found there to be a lack of general recognition.</w:t>
      </w:r>
      <w:bookmarkStart w:id="199" w:name="co_footnoteReference_F98101952054_ID0ESM"/>
      <w:bookmarkEnd w:id="199"/>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98</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00" w:name="co_g_ID0EZMBG_1"/>
      <w:bookmarkEnd w:id="200"/>
      <w:r>
        <w:rPr>
          <w:rFonts w:ascii="Times New Roman" w:hAnsi="Times New Roman" w:cs="Times New Roman"/>
          <w:color w:val="000000"/>
          <w:sz w:val="20"/>
          <w:szCs w:val="20"/>
        </w:rPr>
        <w:t>Moreover, cases establish that a product’s reputation for safety must be documented by at at least the same amount of evidence necessary to obtain approval of a product in the first instance.</w:t>
      </w:r>
      <w:bookmarkStart w:id="201" w:name="co_footnoteReference_F99101952054_ID0EBN"/>
      <w:bookmarkEnd w:id="20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"#co_footnote_F99101952054_1"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99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And, the evidence must be public and available to the scientific community.</w:t>
      </w:r>
      <w:bookmarkStart w:id="202" w:name="co_footnoteReference_F100101952054_ID0EG"/>
      <w:bookmarkEnd w:id="20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latter requirement is based on the understanding that a “lack of documented sources of information perforce curtails the widespread knowledge of the product’s ... safety....”</w:t>
      </w:r>
      <w:bookmarkStart w:id="203" w:name="co_footnoteReference_F101101952054_ID0E1"/>
      <w:bookmarkEnd w:id="20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101</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04" w:name="co_g_ID0ECOBG_1"/>
      <w:bookmarkStart w:id="205" w:name="co_pp_sp_1661_575_1"/>
      <w:bookmarkEnd w:id="204"/>
      <w:bookmarkEnd w:id="205"/>
      <w:r>
        <w:rPr>
          <w:rFonts w:ascii="Times New Roman" w:hAnsi="Times New Roman" w:cs="Times New Roman"/>
          <w:b/>
          <w:bCs/>
          <w:color w:val="000000"/>
          <w:sz w:val="20"/>
          <w:szCs w:val="20"/>
        </w:rPr>
        <w:t>*575</w:t>
      </w:r>
      <w:r>
        <w:rPr>
          <w:rFonts w:ascii="Times New Roman" w:hAnsi="Times New Roman" w:cs="Times New Roman"/>
          <w:color w:val="000000"/>
          <w:sz w:val="20"/>
          <w:szCs w:val="20"/>
        </w:rPr>
        <w:t xml:space="preserve"> At least two courts have questioned the propriety of granting summary judgment on the basis of a record which shows merely a conflict in the evidence regarding general recognition.</w:t>
      </w:r>
      <w:bookmarkStart w:id="206" w:name="co_footnoteReference_F102101952054_ID0EO"/>
      <w:bookmarkEnd w:id="20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These courts have reasoned that the existence of a genuine difference of opinion cannot be summarily determined, but instead requires assessing the probative nature of the evidence presented in a trial.</w:t>
      </w:r>
      <w:bookmarkStart w:id="207" w:name="co_footnoteReference_F103101952054_ID0ES"/>
      <w:bookmarkEnd w:id="20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103</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08" w:name="co_g_ID0EZOBG_1"/>
      <w:bookmarkEnd w:id="208"/>
      <w:r>
        <w:rPr>
          <w:rFonts w:ascii="Times New Roman" w:hAnsi="Times New Roman" w:cs="Times New Roman"/>
          <w:color w:val="000000"/>
          <w:sz w:val="20"/>
          <w:szCs w:val="20"/>
        </w:rPr>
        <w:t>In summary, the case law developed by the agency makes clear that before a food ingredient, whose safety cannot be established based on pre-1958 common use in food, can avoid the FDA’s premarket clearance procedures: (1) that ingredient must be generally recognized as safe, (2) the general recognition must be based upon scientific procedures and studies, and (3) the studies must be publicly available.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09" w:name="co_g_ID0EFPBG_1"/>
      <w:bookmarkEnd w:id="209"/>
      <w:r>
        <w:rPr>
          <w:rFonts w:ascii="Times New Roman" w:hAnsi="Times New Roman" w:cs="Times New Roman"/>
          <w:color w:val="000000"/>
          <w:sz w:val="20"/>
          <w:szCs w:val="20"/>
        </w:rPr>
        <w:t>These criteria evolved as a result of the agency’s persistent efforts to extend the reach of the “food additive” and “new drug” definitions. Establishing a substance’s lack of GRAS status proved to be easier in many cases than showing that the substance was adulterated or misbranded under the Act. Thus, as an enforcement tool, the GRAS rubric provided the agency with a measure of flexibility that encouraged—and rewarded—creative interpretations and applications of the GRAS formulation. Rather than carving out fundamental judicial tenets in these cases, the courts more often than not endorsed the agency’s formalistic applications of the “food additive” and “new drug” definitions. The FDA’s criteria, therefore, need not be viewed as indelible, but rather as amenable to revision in a manner that is deemed appropriate by the agency and that remains faithful to a reasonable reading of the statute.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10" w:name="co_g_ID0E4PBG_1"/>
      <w:bookmarkEnd w:id="210"/>
      <w:r>
        <w:rPr>
          <w:rFonts w:ascii="Times New Roman" w:hAnsi="Times New Roman" w:cs="Times New Roman"/>
          <w:color w:val="000000"/>
          <w:sz w:val="20"/>
          <w:szCs w:val="20"/>
        </w:rPr>
        <w:t xml:space="preserve">Moreover, whereas the three criteria have only been applied to show the absence of GRAS status, the criteria can also be used to establish the GRAS status of compounds formerly considered not to be GRAS but which, over time, have acquired the scientific evidence and reputation of safety necessary for GRAS status. Such a result would not be anomalous, but rather is </w:t>
      </w:r>
      <w:r>
        <w:rPr>
          <w:rFonts w:ascii="Times New Roman" w:hAnsi="Times New Roman" w:cs="Times New Roman"/>
          <w:color w:val="000000"/>
          <w:sz w:val="20"/>
          <w:szCs w:val="20"/>
        </w:rPr>
        <w:lastRenderedPageBreak/>
        <w:t>implicit in the general recognition scheme of regulation envisioned by the Supreme Court in Weinberger v. Hynson, Westcott &amp; Dunning: “[T]he Act is designed so that drugs on the market, unless exempt, will have mustered the requisite scientifically reliable evidence of effectiveness long before they are in a position to drop out of active regulation by ceasing to be a new drug.”</w:t>
      </w:r>
      <w:bookmarkStart w:id="211" w:name="co_footnoteReference_F104101952054_ID0ER"/>
      <w:bookmarkEnd w:id="21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Supreme Court thus recognized that substances may not only lose GRAS status over time, but may gain it as well. It follows that a long-approved food additive with documented wide </w:t>
      </w:r>
      <w:bookmarkStart w:id="212" w:name="co_pp_sp_1661_576_1"/>
      <w:bookmarkEnd w:id="212"/>
      <w:r>
        <w:rPr>
          <w:rFonts w:ascii="Times New Roman" w:hAnsi="Times New Roman" w:cs="Times New Roman"/>
          <w:b/>
          <w:bCs/>
          <w:color w:val="000000"/>
          <w:sz w:val="20"/>
          <w:szCs w:val="20"/>
        </w:rPr>
        <w:t>*576</w:t>
      </w:r>
      <w:r>
        <w:rPr>
          <w:rFonts w:ascii="Times New Roman" w:hAnsi="Times New Roman" w:cs="Times New Roman"/>
          <w:color w:val="000000"/>
          <w:sz w:val="20"/>
          <w:szCs w:val="20"/>
        </w:rPr>
        <w:t xml:space="preserve"> margins of safety could meet the three judicially-derived criteria and be eligible to “drop out of active food additive regulation.”</w:t>
      </w:r>
      <w:bookmarkStart w:id="213" w:name="co_footnoteReference_F105101952054_ID0EG"/>
      <w:bookmarkEnd w:id="21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105</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14" w:name="co_g_ID0ENRBG_1"/>
      <w:bookmarkEnd w:id="214"/>
      <w:r>
        <w:rPr>
          <w:rFonts w:ascii="Times New Roman" w:hAnsi="Times New Roman" w:cs="Times New Roman"/>
          <w:color w:val="000000"/>
          <w:sz w:val="20"/>
          <w:szCs w:val="20"/>
        </w:rPr>
        <w:t>As initially used and designed, the GRAS approach to regulation permitted the FDA to maintain the status quo, to ease the workload burden on the agency, and to prevent undesirable uses of substances in food. Logic dictates, and the case law suggests, that the GRAS concept can still be used to serve those purposes, particularly where the safety of a substance, even an approved food additive, is no longer in doubt.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215" w:name="co_g_ID0E3RBG_1"/>
      <w:bookmarkEnd w:id="215"/>
      <w:r>
        <w:rPr>
          <w:rFonts w:ascii="Times New Roman" w:hAnsi="Times New Roman" w:cs="Times New Roman"/>
          <w:b/>
          <w:bCs/>
          <w:color w:val="000000"/>
          <w:sz w:val="20"/>
          <w:szCs w:val="20"/>
        </w:rPr>
        <w:t>I. Recent Developments: Minor Adjustments, Some Restrictions Eased</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216" w:name="co_g_ID0EGSBG_1"/>
      <w:bookmarkEnd w:id="216"/>
      <w:r>
        <w:rPr>
          <w:rFonts w:ascii="Times New Roman" w:hAnsi="Times New Roman" w:cs="Times New Roman"/>
          <w:b/>
          <w:bCs/>
          <w:color w:val="000000"/>
          <w:sz w:val="20"/>
          <w:szCs w:val="20"/>
        </w:rPr>
        <w:t>1. Conditions of Use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17" w:name="co_g_ID0EQSBG_1"/>
      <w:bookmarkEnd w:id="217"/>
      <w:r>
        <w:rPr>
          <w:rFonts w:ascii="Times New Roman" w:hAnsi="Times New Roman" w:cs="Times New Roman"/>
          <w:color w:val="000000"/>
          <w:sz w:val="20"/>
          <w:szCs w:val="20"/>
        </w:rPr>
        <w:t>In the preambles to its September 23, 1974 proposed rule and its December 7, 1976 final rule, the FDA discussed its decision to limit the use of a GRAS substance according to the “current good manufacturing practice conditions of use” for the ingredient. The “conditions of use” referred to were those reported in an NAS survey of food manufacturers conducted in 1971.</w:t>
      </w:r>
      <w:bookmarkStart w:id="218" w:name="co_footnoteReference_F106101952054_ID0EM"/>
      <w:bookmarkEnd w:id="21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106</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imposing the “conditions of use” limitation in section 121.3</w:t>
      </w:r>
      <w:proofErr w:type="gramStart"/>
      <w:r>
        <w:rPr>
          <w:rFonts w:ascii="Times New Roman" w:hAnsi="Times New Roman" w:cs="Times New Roman"/>
          <w:color w:val="000000"/>
          <w:sz w:val="20"/>
          <w:szCs w:val="20"/>
        </w:rPr>
        <w:t>,</w:t>
      </w:r>
      <w:bookmarkStart w:id="219" w:name="co_footnoteReference_F107101952054_ID0EX"/>
      <w:bookmarkEnd w:id="219"/>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FDA reasoned that the proliferation of food uses for GRAS ingredients that had taken place between 1958 and 1972 would continue, and would result in new uses of ingredients that the agency had not considered when it affirmed them as GRAS. Thus, it was important to the agency to limit the GRAS status of an ingredient to the “conditions of use” in effect when the affirmation was made.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20" w:name="co_g_ID0EDUBG_1"/>
      <w:bookmarkEnd w:id="220"/>
      <w:r>
        <w:rPr>
          <w:rFonts w:ascii="Times New Roman" w:hAnsi="Times New Roman" w:cs="Times New Roman"/>
          <w:color w:val="000000"/>
          <w:sz w:val="20"/>
          <w:szCs w:val="20"/>
        </w:rPr>
        <w:t>The agency’s rigid decision was not well received. Numerous comments during and after completion of the rulemaking proceedings expressed concern about the inclusion of the conditions of use provision. The comments complained that the provision inhibited the use of GRAS ingredients in new food products developed after 1972.</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21" w:name="co_g_ID0EVUBG_1"/>
      <w:bookmarkEnd w:id="221"/>
      <w:r>
        <w:rPr>
          <w:rFonts w:ascii="Times New Roman" w:hAnsi="Times New Roman" w:cs="Times New Roman"/>
          <w:color w:val="000000"/>
          <w:sz w:val="20"/>
          <w:szCs w:val="20"/>
        </w:rPr>
        <w:t>On September 7, 1982, the FDA proposed to amend its regulations to define more clearly the meaning of “current good manufacturing practice conditions of use” for GRAS ingredients and to reflect that a GRAS affirmation regulation need not, as a matter of necessity, contain explicit details of the conditions of use affirmed as GRAS.</w:t>
      </w:r>
      <w:bookmarkStart w:id="222" w:name="co_footnoteReference_F108101952054_ID0EG"/>
      <w:bookmarkEnd w:id="222"/>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108</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agency finalized the rule on October 19, 1983.</w:t>
      </w:r>
      <w:bookmarkStart w:id="223" w:name="co_footnoteReference_F109101952054_ID0EL"/>
      <w:bookmarkEnd w:id="22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"#co_footnote_F109101952054_1"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109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the preamble to the final rule, the agency stated that the purpose of a GRAS affirmation regulation is to </w:t>
      </w:r>
      <w:bookmarkStart w:id="224" w:name="co_pp_sp_1661_577_1"/>
      <w:bookmarkEnd w:id="224"/>
      <w:r>
        <w:rPr>
          <w:rFonts w:ascii="Times New Roman" w:hAnsi="Times New Roman" w:cs="Times New Roman"/>
          <w:b/>
          <w:bCs/>
          <w:color w:val="000000"/>
          <w:sz w:val="20"/>
          <w:szCs w:val="20"/>
        </w:rPr>
        <w:t>*577</w:t>
      </w:r>
      <w:r>
        <w:rPr>
          <w:rFonts w:ascii="Times New Roman" w:hAnsi="Times New Roman" w:cs="Times New Roman"/>
          <w:color w:val="000000"/>
          <w:sz w:val="20"/>
          <w:szCs w:val="20"/>
        </w:rPr>
        <w:t xml:space="preserve"> “describe” the ingredient and to “describe” the uses of the ingredient in food that are generally recognized as safe and are affirmed by the FDA as such.</w:t>
      </w:r>
      <w:bookmarkStart w:id="225" w:name="co_footnoteReference_F110101952054_ID0EV"/>
      <w:bookmarkEnd w:id="22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Also, the agency reasoned that it may be appropriate to “describe” one or more conditions of use for a substance in a GRAS affirmation regulation for the substance. However, based on its “years of experience,” the agency concluded that a description of appropriate good manufacturing practice conditions of use (e.g., technical effects, food categories, and levels of use) was not needed for every substance.</w:t>
      </w:r>
      <w:bookmarkStart w:id="226" w:name="co_footnoteReference_F111101952054_ID0E4"/>
      <w:bookmarkEnd w:id="226"/>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Therefore, the agency concluded that a description of good manufacturing practice conditions of use would be included in a GRAS affirmation regulation only if the agency determined that the conditions of use were necessary to ensure the continued safe use of the ingredient.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27" w:name="co_g_ID0EGWBG_1"/>
      <w:bookmarkEnd w:id="227"/>
      <w:r>
        <w:rPr>
          <w:rFonts w:ascii="Times New Roman" w:hAnsi="Times New Roman" w:cs="Times New Roman"/>
          <w:color w:val="000000"/>
          <w:sz w:val="20"/>
          <w:szCs w:val="20"/>
        </w:rPr>
        <w:t>The logic behind the agency’s change in thinking was the recognition that a GRAS affirmation regulation should only include those conditions of use that are necessary to ensure the safe use of a food ingredient. The agency identified three factors it would rely upon in deciding whether specific conditions of use would be necessary: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the</w:t>
      </w:r>
      <w:proofErr w:type="gramEnd"/>
      <w:r>
        <w:rPr>
          <w:rFonts w:ascii="Times New Roman" w:hAnsi="Times New Roman" w:cs="Times New Roman"/>
          <w:color w:val="000000"/>
          <w:sz w:val="20"/>
          <w:szCs w:val="20"/>
        </w:rPr>
        <w:t xml:space="preserve"> amount and extent of the use of the ingredient in food;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the</w:t>
      </w:r>
      <w:proofErr w:type="gramEnd"/>
      <w:r>
        <w:rPr>
          <w:rFonts w:ascii="Times New Roman" w:hAnsi="Times New Roman" w:cs="Times New Roman"/>
          <w:color w:val="000000"/>
          <w:sz w:val="20"/>
          <w:szCs w:val="20"/>
        </w:rPr>
        <w:t xml:space="preserve"> magnitude of the safety factor that exists for the ingredient; and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whether</w:t>
      </w:r>
      <w:proofErr w:type="gramEnd"/>
      <w:r>
        <w:rPr>
          <w:rFonts w:ascii="Times New Roman" w:hAnsi="Times New Roman" w:cs="Times New Roman"/>
          <w:color w:val="000000"/>
          <w:sz w:val="20"/>
          <w:szCs w:val="20"/>
        </w:rPr>
        <w:t xml:space="preserve"> the use of the ingredient is self-limiting.</w:t>
      </w:r>
      <w:bookmarkStart w:id="228" w:name="co_footnoteReference_F112101952054_ID0EN"/>
      <w:bookmarkEnd w:id="22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112</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29" w:name="co_g_ID0EXXBG_1"/>
      <w:bookmarkEnd w:id="229"/>
      <w:r>
        <w:rPr>
          <w:rFonts w:ascii="Times New Roman" w:hAnsi="Times New Roman" w:cs="Times New Roman"/>
          <w:color w:val="000000"/>
          <w:sz w:val="20"/>
          <w:szCs w:val="20"/>
        </w:rPr>
        <w:t xml:space="preserve">Applying these factors to a number of ingredients, the agency concluded that some ingredients were so widely and so safely used that it was not necessary to require that specific conditions of use be followed in order to ensure the continued safe use of the ingredients. The agency could not, however, reach a similar conclusion for ingredients that had been used only in a few food categories or at low levels. For such ingredients, the agency declared that it would only be able to conclude that the continued </w:t>
      </w:r>
      <w:r>
        <w:rPr>
          <w:rFonts w:ascii="Times New Roman" w:hAnsi="Times New Roman" w:cs="Times New Roman"/>
          <w:color w:val="000000"/>
          <w:sz w:val="20"/>
          <w:szCs w:val="20"/>
        </w:rPr>
        <w:lastRenderedPageBreak/>
        <w:t>use of the ingredients under specific conditions of use (or under reasonably related conditions of use) would be safe.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30" w:name="co_g_ID0EJYBG_1"/>
      <w:bookmarkEnd w:id="230"/>
      <w:r>
        <w:rPr>
          <w:rFonts w:ascii="Times New Roman" w:hAnsi="Times New Roman" w:cs="Times New Roman"/>
          <w:color w:val="000000"/>
          <w:sz w:val="20"/>
          <w:szCs w:val="20"/>
        </w:rPr>
        <w:t>The agency’s willingness to rethink the propriety of the specific good manufacturing practices requirement reflects and reinforces the notion that GRAS status should not be static or limited by immutable conditions. In this context, it is not surprising that in the preamble to the final rule, the agency explicitly reminded manufacturers that “the existence of a GRAS affirmation regulation that contains conditions of use does not bar a manufacturer from expanding the use of a GRAS ingredient beyond the conditions described in the regulation if the manufacturer makes its own GRAS determination.”</w:t>
      </w:r>
      <w:bookmarkStart w:id="231" w:name="co_footnoteReference_F113101952054_ID0E4"/>
      <w:bookmarkEnd w:id="23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FDA went on to observe, however, that the flexibility associated with determining GRAS affirmation status did not, </w:t>
      </w:r>
      <w:bookmarkStart w:id="232" w:name="co_pp_sp_1661_578_1"/>
      <w:bookmarkEnd w:id="232"/>
      <w:r>
        <w:rPr>
          <w:rFonts w:ascii="Times New Roman" w:hAnsi="Times New Roman" w:cs="Times New Roman"/>
          <w:b/>
          <w:bCs/>
          <w:color w:val="000000"/>
          <w:sz w:val="20"/>
          <w:szCs w:val="20"/>
        </w:rPr>
        <w:t>*578</w:t>
      </w:r>
      <w:r>
        <w:rPr>
          <w:rFonts w:ascii="Times New Roman" w:hAnsi="Times New Roman" w:cs="Times New Roman"/>
          <w:color w:val="000000"/>
          <w:sz w:val="20"/>
          <w:szCs w:val="20"/>
        </w:rPr>
        <w:t xml:space="preserve"> in the agency’s view, apply once an ingredient was found to be a food additive: “GRAS regulations are different from food additive regulations, which set forth the only permissible uses of a substance in food.”</w:t>
      </w:r>
      <w:bookmarkStart w:id="233" w:name="co_footnoteReference_F114101952054_ID0EP"/>
      <w:bookmarkEnd w:id="23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114</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34" w:name="co_g_ID0EWZBG_1"/>
      <w:bookmarkEnd w:id="234"/>
      <w:r>
        <w:rPr>
          <w:rFonts w:ascii="Times New Roman" w:hAnsi="Times New Roman" w:cs="Times New Roman"/>
          <w:color w:val="000000"/>
          <w:sz w:val="20"/>
          <w:szCs w:val="20"/>
        </w:rPr>
        <w:t>The agency’s latter position appears unnecessarily dogmatic. The same logic that induced the agency to change its view concerning the imposition of rigid conditions of use as a part of the GRAS affirmation process leads to the conclusion that even a food additive can become so widely and so safely used that the agency can conclude that food additive status is no longer needed to ensure the safe use of the ingredient.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rPr>
          <w:rFonts w:ascii="Times New Roman" w:hAnsi="Times New Roman" w:cs="Times New Roman"/>
          <w:b/>
          <w:bCs/>
          <w:color w:val="000000"/>
          <w:sz w:val="20"/>
          <w:szCs w:val="20"/>
        </w:rPr>
      </w:pPr>
      <w:bookmarkStart w:id="235" w:name="co_g_ID0EF1BG_1"/>
      <w:bookmarkEnd w:id="235"/>
      <w:r>
        <w:rPr>
          <w:rFonts w:ascii="Times New Roman" w:hAnsi="Times New Roman" w:cs="Times New Roman"/>
          <w:b/>
          <w:bCs/>
          <w:color w:val="000000"/>
          <w:sz w:val="20"/>
          <w:szCs w:val="20"/>
        </w:rPr>
        <w:t>2. Common Use in Food in the United States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6"/>
          <w:szCs w:val="16"/>
        </w:rPr>
      </w:pPr>
      <w:bookmarkStart w:id="236" w:name="co_g_ID0EP1BG_1"/>
      <w:bookmarkEnd w:id="236"/>
      <w:r>
        <w:rPr>
          <w:rFonts w:ascii="Times New Roman" w:hAnsi="Times New Roman" w:cs="Times New Roman"/>
          <w:color w:val="000000"/>
          <w:sz w:val="20"/>
          <w:szCs w:val="20"/>
        </w:rPr>
        <w:t>A less voluntary modification of the GRAS affirmation regulations arose out of litigation over the meaning of the “common use in food” language found in section 201(s) of the Act. In its September 23, 1974 notice of proposed rulemaking, the agency sought to define “common use in food” to mean “a substantial history of consumption of a substance by a significant number of consumers in the United States.”</w:t>
      </w:r>
      <w:bookmarkStart w:id="237" w:name="co_footnoteReference_F115101952054_ID0ED"/>
      <w:bookmarkEnd w:id="23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FDA stated that it was necessary to limit the definition to food use in the United States because the common use of a food in a foreign country often cannot be verified, and because the experience based on that use cannot be evaluated. The agency received no comments on the definition and codified it without change at </w:t>
      </w:r>
      <w:hyperlink r:id="rId9" w:anchor="co_pp_ae0d0000c5150" w:history="1">
        <w:r>
          <w:rPr>
            <w:rFonts w:ascii="Times New Roman" w:hAnsi="Times New Roman" w:cs="Times New Roman"/>
            <w:color w:val="0000FF"/>
            <w:sz w:val="20"/>
            <w:szCs w:val="20"/>
          </w:rPr>
          <w:t>21 C.F.R. § 170.3(f)</w:t>
        </w:r>
      </w:hyperlink>
      <w:r>
        <w:rPr>
          <w:rFonts w:ascii="Times New Roman" w:hAnsi="Times New Roman" w:cs="Times New Roman"/>
          <w:color w:val="000000"/>
          <w:sz w:val="20"/>
          <w:szCs w:val="20"/>
        </w:rPr>
        <w:t>.</w:t>
      </w:r>
      <w:bookmarkStart w:id="238" w:name="co_footnoteReference_F116101952054_ID0ET"/>
      <w:bookmarkEnd w:id="238"/>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"#co_footnote_F116101952054_1"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116</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39" w:name="co_g_ID0E12BG_1"/>
      <w:bookmarkEnd w:id="239"/>
      <w:r>
        <w:rPr>
          <w:rFonts w:ascii="Times New Roman" w:hAnsi="Times New Roman" w:cs="Times New Roman"/>
          <w:color w:val="000000"/>
          <w:sz w:val="20"/>
          <w:szCs w:val="20"/>
        </w:rPr>
        <w:t>In 1982, an importer of foreign food products challenged the validity of the regulation.</w:t>
      </w:r>
      <w:bookmarkStart w:id="240" w:name="co_footnoteReference_F117101952054_ID0EC"/>
      <w:bookmarkEnd w:id="24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"#co_footnote_F117101952054_1"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117</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Ninth Circuit Court of Appeals ruled that the legislative history of section 201(s) does not suggest that only prolonged use within the United States must be used to establish the safety of an additive. Accordingly, the court declared the definition invalid. The court stated:</w:t>
      </w:r>
    </w:p>
    <w:p w:rsidR="00BA7631" w:rsidRDefault="00CA2116">
      <w:pPr>
        <w:widowControl w:val="0"/>
        <w:autoSpaceDE w:val="0"/>
        <w:autoSpaceDN w:val="0"/>
        <w:adjustRightInd w:val="0"/>
        <w:spacing w:after="0" w:line="240" w:lineRule="auto"/>
        <w:ind w:left="800" w:right="800"/>
        <w:jc w:val="both"/>
        <w:rPr>
          <w:rFonts w:ascii="Times New Roman" w:hAnsi="Times New Roman" w:cs="Times New Roman"/>
          <w:color w:val="000000"/>
          <w:sz w:val="16"/>
          <w:szCs w:val="16"/>
        </w:rPr>
      </w:pPr>
      <w:r>
        <w:rPr>
          <w:rFonts w:ascii="Times New Roman" w:hAnsi="Times New Roman" w:cs="Times New Roman"/>
          <w:color w:val="000000"/>
          <w:sz w:val="20"/>
          <w:szCs w:val="20"/>
        </w:rPr>
        <w:t>The structure of section 201(s) reflects this overriding concern with the safety of food ingredients. Under the statute, “common use in food” of an ingredient does not automatically exempt the substance from pretesting requirements. Instead, “common use in food” merely describes one form of evidence that may be introduced by a proponent for the purpose of meeting the ultimate standard, which is whether the ingredient is safe for human consumption. As we have observed, neither the language of the statute nor its history indicates that only “common use” within the United States may be cited as evidence of safety.</w:t>
      </w:r>
      <w:bookmarkStart w:id="241" w:name="co_footnoteReference_F118101952054_ID0EB"/>
      <w:bookmarkEnd w:id="24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"#co_footnote_F118101952054_1"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118</w:t>
      </w:r>
      <w:r>
        <w:rPr>
          <w:rFonts w:ascii="Times New Roman" w:hAnsi="Times New Roman" w:cs="Times New Roman"/>
          <w:color w:val="000000"/>
          <w:sz w:val="16"/>
          <w:szCs w:val="16"/>
        </w:rPr>
        <w:fldChar w:fldCharType="end"/>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42" w:name="co_g_ID0EL4BG_1"/>
      <w:bookmarkStart w:id="243" w:name="co_pp_sp_1661_579_1"/>
      <w:bookmarkEnd w:id="242"/>
      <w:bookmarkEnd w:id="243"/>
      <w:r>
        <w:rPr>
          <w:rFonts w:ascii="Times New Roman" w:hAnsi="Times New Roman" w:cs="Times New Roman"/>
          <w:b/>
          <w:bCs/>
          <w:color w:val="000000"/>
          <w:sz w:val="20"/>
          <w:szCs w:val="20"/>
        </w:rPr>
        <w:t>*579</w:t>
      </w:r>
      <w:r>
        <w:rPr>
          <w:rFonts w:ascii="Times New Roman" w:hAnsi="Times New Roman" w:cs="Times New Roman"/>
          <w:color w:val="000000"/>
          <w:sz w:val="20"/>
          <w:szCs w:val="20"/>
        </w:rPr>
        <w:t xml:space="preserve"> The FDA proposed to amend the regulation to recognize that a substance that was used in food prior to 1958 can be shown to be GRAS on the basis of its common use in food outside as well as inside the United States.</w:t>
      </w:r>
      <w:bookmarkStart w:id="244" w:name="co_footnoteReference_F119101952054_ID0EX"/>
      <w:bookmarkEnd w:id="244"/>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"#co_footnote_F119101952054_1"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119</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In proposing the amendment, the agency again acknowledged that manufacturers “are free to” make their own determination about whether a substance is GRAS.</w:t>
      </w:r>
      <w:bookmarkStart w:id="245" w:name="co_footnoteReference_F120101952054_ID0E3"/>
      <w:bookmarkEnd w:id="245"/>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"#co_footnote_F120101952054_1"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120</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agency went on to caution, however, that manufacturers wishing to rely on the common use in food exemption based on experience outside the United States “should” first obtain the FDA’s concurrence.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46" w:name="co_g_ID0EF5BG_1"/>
      <w:bookmarkEnd w:id="246"/>
      <w:r>
        <w:rPr>
          <w:rFonts w:ascii="Times New Roman" w:hAnsi="Times New Roman" w:cs="Times New Roman"/>
          <w:color w:val="000000"/>
          <w:sz w:val="20"/>
          <w:szCs w:val="20"/>
        </w:rPr>
        <w:t>The final rule was issued on May 10, 1988.</w:t>
      </w:r>
      <w:bookmarkStart w:id="247" w:name="co_footnoteReference_F121101952054_ID0EN"/>
      <w:bookmarkEnd w:id="247"/>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"#co_footnote_F121101952054_1"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121</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The rule contains markedly stricter criteria for demonstrating GRAS status based on experience outside the United States than for a similar showing within the United States. The regulation provides that “common use in food prior to January 1, 1958 that occurred outside the United States” must be documented by either published information or by information from two independent sources which corroborate the history and use of the food. Moreover, the information must be widely available in the country where the use occurred and “readily” available to experts in the United States.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jc w:val="center"/>
        <w:rPr>
          <w:rFonts w:ascii="Times New Roman" w:hAnsi="Times New Roman" w:cs="Times New Roman"/>
          <w:b/>
          <w:bCs/>
          <w:color w:val="000000"/>
          <w:sz w:val="20"/>
          <w:szCs w:val="20"/>
        </w:rPr>
      </w:pPr>
      <w:bookmarkStart w:id="248" w:name="co_g_ID0EF6BG_1"/>
      <w:bookmarkEnd w:id="248"/>
      <w:r>
        <w:rPr>
          <w:rFonts w:ascii="Times New Roman" w:hAnsi="Times New Roman" w:cs="Times New Roman"/>
          <w:b/>
          <w:bCs/>
          <w:color w:val="000000"/>
          <w:sz w:val="20"/>
          <w:szCs w:val="20"/>
        </w:rPr>
        <w:t>III. RETHINKING THE GRAS CONCEPT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49" w:name="co_g_ID0EP6BG_1"/>
      <w:bookmarkEnd w:id="249"/>
      <w:r>
        <w:rPr>
          <w:rFonts w:ascii="Times New Roman" w:hAnsi="Times New Roman" w:cs="Times New Roman"/>
          <w:color w:val="000000"/>
          <w:sz w:val="20"/>
          <w:szCs w:val="20"/>
        </w:rPr>
        <w:t>One of the prevailing theories of evolution is the “significant development” theory.</w:t>
      </w:r>
      <w:bookmarkStart w:id="250" w:name="co_footnoteReference_F122101952054_ID0EX"/>
      <w:bookmarkEnd w:id="250"/>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"#co_footnote_F122101952054_1"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122</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According to this theory, the evolution of </w:t>
      </w:r>
      <w:r>
        <w:rPr>
          <w:rFonts w:ascii="Times New Roman" w:hAnsi="Times New Roman" w:cs="Times New Roman"/>
          <w:color w:val="000000"/>
          <w:sz w:val="20"/>
          <w:szCs w:val="20"/>
        </w:rPr>
        <w:lastRenderedPageBreak/>
        <w:t>a species is not gradually progressive (or regressive, depending on one’s philosophical perspective). Rather, little or no change occurs in a species for generation after generation. Then, without warning, significant change suddenly occurs within a span of—anthropologically speaking—a very short period of time.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1" w:name="co_g_ID0EHAAI_1"/>
      <w:bookmarkEnd w:id="251"/>
      <w:r>
        <w:rPr>
          <w:rFonts w:ascii="Times New Roman" w:hAnsi="Times New Roman" w:cs="Times New Roman"/>
          <w:color w:val="000000"/>
          <w:sz w:val="20"/>
          <w:szCs w:val="20"/>
        </w:rPr>
        <w:t>The FDA’s application of the GRAS concept resembles the “significant development” theory of evolution. Between 1958 and 1969, the FDA’s application of the GRAS concept consistently permitted the agency to efficiently allocate its resources in implementing the FAA. Without formalistic criteria governing when a substance would be considered GRAS, the agency made hundreds of prudent decisions regarding which of those substances should be accorded GRAS status and which should be regulated as food additives.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2" w:name="co_g_ID0EZAAI_1"/>
      <w:bookmarkEnd w:id="252"/>
      <w:r>
        <w:rPr>
          <w:rFonts w:ascii="Times New Roman" w:hAnsi="Times New Roman" w:cs="Times New Roman"/>
          <w:color w:val="000000"/>
          <w:sz w:val="20"/>
          <w:szCs w:val="20"/>
        </w:rPr>
        <w:t xml:space="preserve">The significant development in the evolution of the GRAS concept was the cyclamate incident. Overnight, public opinion, political pressure, and scientific uncertainty changed the evolutionary course of the agency’s use of the GRAS concept. The GRAS list process was supplemented and, in large part, superceded by the GRAS affirmation process. Informal criteria </w:t>
      </w:r>
      <w:bookmarkStart w:id="253" w:name="co_pp_sp_1661_580_1"/>
      <w:bookmarkEnd w:id="253"/>
      <w:r>
        <w:rPr>
          <w:rFonts w:ascii="Times New Roman" w:hAnsi="Times New Roman" w:cs="Times New Roman"/>
          <w:b/>
          <w:bCs/>
          <w:color w:val="000000"/>
          <w:sz w:val="20"/>
          <w:szCs w:val="20"/>
        </w:rPr>
        <w:t>*580</w:t>
      </w:r>
      <w:r>
        <w:rPr>
          <w:rFonts w:ascii="Times New Roman" w:hAnsi="Times New Roman" w:cs="Times New Roman"/>
          <w:color w:val="000000"/>
          <w:sz w:val="20"/>
          <w:szCs w:val="20"/>
        </w:rPr>
        <w:t xml:space="preserve"> for assessing GRAS gave way, understandably, to formalistic criteria for assessing GRAS status. Good lawyering on behalf of the agency further refined these formalistic criteria and, in the process, created an effective regulatory tool for removing from the market food and drug products encumbered by questionable labeling, uses, etc.</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4" w:name="co_g_ID0EWBAI_1"/>
      <w:bookmarkEnd w:id="254"/>
      <w:r>
        <w:rPr>
          <w:rFonts w:ascii="Times New Roman" w:hAnsi="Times New Roman" w:cs="Times New Roman"/>
          <w:color w:val="000000"/>
          <w:sz w:val="20"/>
          <w:szCs w:val="20"/>
        </w:rPr>
        <w:t>The impact of these changes was immediate. The flexibility formerly provided by the GRAS concept was diminished. It became more difficult to apply the concept. An emphasis on categorization resulted in differentiating between GRAS substances, i.e., those that were GRAS by virtue of their “common use in food,” by virtue of “scientific procedures,” or by virtue of their status as “traditional” foods. Adding to the web of GRAS substances were those “listed” as GRAS, those “affirmed” as GRAS, and those independently determined to be GRAS.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5" w:name="co_g_ID0EOCAI_1"/>
      <w:bookmarkEnd w:id="255"/>
      <w:r>
        <w:rPr>
          <w:rFonts w:ascii="Times New Roman" w:hAnsi="Times New Roman" w:cs="Times New Roman"/>
          <w:color w:val="000000"/>
          <w:sz w:val="20"/>
          <w:szCs w:val="20"/>
        </w:rPr>
        <w:t>This diversity of GRAS classifications has served to preserve some agency flexibility for making reasonable decisions concerning the safety of substances without disrupting priorities and rechannelling resources in a manner deemed imprudent. But, for the most part, the complexity that has developed in the agency’s application of the GRAS concept reflects a trend toward an increasingly narrow interpretation and application of the concept. The motives behind this trend are well intentioned, for on the face of things such an interpretation of the GRAS concept would seem to lead to enhanced food safety protection by extending the agency’s control over ingredients added to food.</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6" w:name="co_g_ID0EADAI_1"/>
      <w:bookmarkEnd w:id="256"/>
      <w:r>
        <w:rPr>
          <w:rFonts w:ascii="Times New Roman" w:hAnsi="Times New Roman" w:cs="Times New Roman"/>
          <w:color w:val="000000"/>
          <w:sz w:val="20"/>
          <w:szCs w:val="20"/>
        </w:rPr>
        <w:t>Congress recognized in 1958, however, that an all-encompassing reading of the FAA is not necessarily the best way to ensure the safety and integrity of the entire food supply. Such a reading does not take into account the fact that the numerous food safety issues before the agency differ in public health significance. The FDA needs to be able not only to prioritize these issues, but also to be able to efficiently address them.</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7" w:name="co_g_ID0ESDAI_1"/>
      <w:bookmarkEnd w:id="257"/>
      <w:r>
        <w:rPr>
          <w:rFonts w:ascii="Times New Roman" w:hAnsi="Times New Roman" w:cs="Times New Roman"/>
          <w:color w:val="000000"/>
          <w:sz w:val="20"/>
          <w:szCs w:val="20"/>
        </w:rPr>
        <w:t>Different regulatory tools are invaluable in carrying out the latter task. In 1958, the GRAS concept was such a tool. It permitted the FDA to ensure that substances of public health concern were addressed in an orderly manner. Without the agency’s creative use of the GRAS concept, the FDA would have been faced with regulating as food additives not only those substances truly in need of prompt agency attention, but also thousands of other substances considered to be of little public health consequence. The GRAS concept, as Mr. Goodrich recognized</w:t>
      </w:r>
      <w:proofErr w:type="gramStart"/>
      <w:r>
        <w:rPr>
          <w:rFonts w:ascii="Times New Roman" w:hAnsi="Times New Roman" w:cs="Times New Roman"/>
          <w:color w:val="000000"/>
          <w:sz w:val="20"/>
          <w:szCs w:val="20"/>
        </w:rPr>
        <w:t>,</w:t>
      </w:r>
      <w:bookmarkStart w:id="258" w:name="co_footnoteReference_F123101952054_ID0EE"/>
      <w:bookmarkEnd w:id="258"/>
      <w:proofErr w:type="gramEnd"/>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"#co_footnote_F123101952054_1"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123</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offered the agency the flexibility to deal with such problems. The concept continues to offer the possibility for such flexibility today.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59" w:name="co_g_ID0EQEAI_1"/>
      <w:bookmarkEnd w:id="259"/>
      <w:r>
        <w:rPr>
          <w:rFonts w:ascii="Times New Roman" w:hAnsi="Times New Roman" w:cs="Times New Roman"/>
          <w:color w:val="000000"/>
          <w:sz w:val="20"/>
          <w:szCs w:val="20"/>
        </w:rPr>
        <w:t xml:space="preserve">For example, in the case of products of biotechnology, the nature of a given review process appropriate for a particular product will vary depending on the identity of the host organism, the commonality of that </w:t>
      </w:r>
      <w:bookmarkStart w:id="260" w:name="co_pp_sp_1661_581_1"/>
      <w:bookmarkEnd w:id="260"/>
      <w:r>
        <w:rPr>
          <w:rFonts w:ascii="Times New Roman" w:hAnsi="Times New Roman" w:cs="Times New Roman"/>
          <w:b/>
          <w:bCs/>
          <w:color w:val="000000"/>
          <w:sz w:val="20"/>
          <w:szCs w:val="20"/>
        </w:rPr>
        <w:t>*581</w:t>
      </w:r>
      <w:r>
        <w:rPr>
          <w:rFonts w:ascii="Times New Roman" w:hAnsi="Times New Roman" w:cs="Times New Roman"/>
          <w:color w:val="000000"/>
          <w:sz w:val="20"/>
          <w:szCs w:val="20"/>
        </w:rPr>
        <w:t xml:space="preserve"> organism to an already approved organism or to a GRAS organism, the evidence of pathogenicity or toxin production concerning the engineered organism, the characterization of the inserted genetic material, the dietary use and exposure, etc. In some cases, these factors may require that a product of biotechnology be reviewed as a food additive. In other cases, GRAS affirmation may be an appropriate route. To treat all such products, however, as either candidates for food additive petitions or GRAS affirmation petitions would be an enormous strain on the agency’s resources. It is for this reason that the International Food Biotechnology Council has suggested that the FDA affirm the practice of making independent GRAS determinations with respect to specific types of biotechnology-derived food products, and that it establish an informal procedure for informing an agency of these determinations.</w:t>
      </w:r>
      <w:bookmarkStart w:id="261" w:name="co_footnoteReference_F124101952054_ID0EJ"/>
      <w:bookmarkEnd w:id="261"/>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"#co_footnote_F124101952054_1"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124</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Any such private determination would be undertaken with full knowledge of the criteria used by the FDA when it affirms the GRAS status of a food ingredient. Any failure to conform </w:t>
      </w:r>
      <w:proofErr w:type="gramStart"/>
      <w:r>
        <w:rPr>
          <w:rFonts w:ascii="Times New Roman" w:hAnsi="Times New Roman" w:cs="Times New Roman"/>
          <w:color w:val="000000"/>
          <w:sz w:val="20"/>
          <w:szCs w:val="20"/>
        </w:rPr>
        <w:t>with</w:t>
      </w:r>
      <w:proofErr w:type="gramEnd"/>
      <w:r>
        <w:rPr>
          <w:rFonts w:ascii="Times New Roman" w:hAnsi="Times New Roman" w:cs="Times New Roman"/>
          <w:color w:val="000000"/>
          <w:sz w:val="20"/>
          <w:szCs w:val="20"/>
        </w:rPr>
        <w:t xml:space="preserve"> such criteria would place such a private determination at risk not only from the viewpoint of the FDA, but also from the viewpoint of the public health. The public </w:t>
      </w:r>
      <w:r>
        <w:rPr>
          <w:rFonts w:ascii="Times New Roman" w:hAnsi="Times New Roman" w:cs="Times New Roman"/>
          <w:color w:val="000000"/>
          <w:sz w:val="20"/>
          <w:szCs w:val="20"/>
        </w:rPr>
        <w:lastRenderedPageBreak/>
        <w:t>health would be served—and valuable agency resources would be freed up to address products presenting scientific questions and issues in need of agency scrutiny.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62" w:name="co_g_ID0EYFAI_1"/>
      <w:bookmarkEnd w:id="262"/>
      <w:r>
        <w:rPr>
          <w:rFonts w:ascii="Times New Roman" w:hAnsi="Times New Roman" w:cs="Times New Roman"/>
          <w:color w:val="000000"/>
          <w:sz w:val="20"/>
          <w:szCs w:val="20"/>
        </w:rPr>
        <w:t>Another mechanism by which the GRAS concept could be used to accommodate innovation and sparse agency resources involves new uses for established food additives. As discussed, the FDA has stated that food additive regulations set forth the “only” permissible uses of a substance in food.</w:t>
      </w:r>
      <w:bookmarkStart w:id="263" w:name="co_footnoteReference_F125101952054_ID0ED"/>
      <w:bookmarkEnd w:id="263"/>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HYPERLINK "#co_footnote_F125101952054_1" </w:instrText>
      </w:r>
      <w:r>
        <w:rPr>
          <w:rFonts w:ascii="Times New Roman" w:hAnsi="Times New Roman" w:cs="Times New Roman"/>
          <w:color w:val="000000"/>
          <w:sz w:val="16"/>
          <w:szCs w:val="16"/>
        </w:rPr>
        <w:fldChar w:fldCharType="separate"/>
      </w:r>
      <w:r>
        <w:rPr>
          <w:rFonts w:ascii="Times New Roman" w:hAnsi="Times New Roman" w:cs="Times New Roman"/>
          <w:color w:val="0000FF"/>
          <w:sz w:val="16"/>
          <w:szCs w:val="16"/>
          <w:vertAlign w:val="superscript"/>
        </w:rPr>
        <w:t>125</w:t>
      </w:r>
      <w:r>
        <w:rPr>
          <w:rFonts w:ascii="Times New Roman" w:hAnsi="Times New Roman" w:cs="Times New Roman"/>
          <w:color w:val="000000"/>
          <w:sz w:val="16"/>
          <w:szCs w:val="16"/>
        </w:rPr>
        <w:fldChar w:fldCharType="end"/>
      </w:r>
      <w:r>
        <w:rPr>
          <w:rFonts w:ascii="Times New Roman" w:hAnsi="Times New Roman" w:cs="Times New Roman"/>
          <w:color w:val="000000"/>
          <w:sz w:val="20"/>
          <w:szCs w:val="20"/>
        </w:rPr>
        <w:t xml:space="preserve"> New uses of even long-approved, documented to be safe food additives must be the subject of formal food additive petitions. The upshot can be a lengthy, often redundant review. Even food additives, however, can become so widely and safely used that the agency can conclude that food additive status is no longer needed to ensure the safe use of that ingredient. In such cases, as long as the agency is aware of the new uses to which such an additive is being used and as long as information regarding the new technical effect of the additive is readily available for agency scrutiny, encouraging independent GRAS affirmation determinations based on such long use provides the assurance that the new use of the ingredient is safe, and, at the same time, permits the agency to concentrate its efforts and resources in areas of more public health concern and interest.</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64" w:name="co_g_ID0EVGAI_1"/>
      <w:bookmarkEnd w:id="264"/>
      <w:r>
        <w:rPr>
          <w:rFonts w:ascii="Times New Roman" w:hAnsi="Times New Roman" w:cs="Times New Roman"/>
          <w:color w:val="000000"/>
          <w:sz w:val="20"/>
          <w:szCs w:val="20"/>
        </w:rPr>
        <w:t xml:space="preserve">Other instances can be imagined where resort to the GRAS concept would have no effect on the public health, but could provide the agency the opportunity to make the FAA function reasonably and efficiently—a goal every bit as worthy today as it was when first articulated in 1958. The number of such instances is not likely to be great. However, when </w:t>
      </w:r>
      <w:bookmarkStart w:id="265" w:name="co_pp_sp_1661_582_1"/>
      <w:bookmarkEnd w:id="265"/>
      <w:r>
        <w:rPr>
          <w:rFonts w:ascii="Times New Roman" w:hAnsi="Times New Roman" w:cs="Times New Roman"/>
          <w:b/>
          <w:bCs/>
          <w:color w:val="000000"/>
          <w:sz w:val="20"/>
          <w:szCs w:val="20"/>
        </w:rPr>
        <w:t>*582</w:t>
      </w:r>
      <w:r>
        <w:rPr>
          <w:rFonts w:ascii="Times New Roman" w:hAnsi="Times New Roman" w:cs="Times New Roman"/>
          <w:color w:val="000000"/>
          <w:sz w:val="20"/>
          <w:szCs w:val="20"/>
        </w:rPr>
        <w:t xml:space="preserve"> such instances arise, the GRAS concept can applied as originally conceived: as a tool for preserving and fostering innovation, and wisely allocating regulatory resources.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before="200" w:line="240" w:lineRule="auto"/>
        <w:jc w:val="center"/>
        <w:rPr>
          <w:rFonts w:ascii="Times New Roman" w:hAnsi="Times New Roman" w:cs="Times New Roman"/>
          <w:b/>
          <w:bCs/>
          <w:color w:val="000000"/>
          <w:sz w:val="20"/>
          <w:szCs w:val="20"/>
        </w:rPr>
      </w:pPr>
      <w:bookmarkStart w:id="266" w:name="co_g_ID0EMHAI_1"/>
      <w:bookmarkEnd w:id="266"/>
      <w:r>
        <w:rPr>
          <w:rFonts w:ascii="Times New Roman" w:hAnsi="Times New Roman" w:cs="Times New Roman"/>
          <w:b/>
          <w:bCs/>
          <w:color w:val="000000"/>
          <w:sz w:val="20"/>
          <w:szCs w:val="20"/>
        </w:rPr>
        <w:t>IV. CONCLUSION</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67" w:name="co_g_ID0EWHAI_1"/>
      <w:bookmarkEnd w:id="267"/>
      <w:r>
        <w:rPr>
          <w:rFonts w:ascii="Times New Roman" w:hAnsi="Times New Roman" w:cs="Times New Roman"/>
          <w:color w:val="000000"/>
          <w:sz w:val="20"/>
          <w:szCs w:val="20"/>
        </w:rPr>
        <w:t>Significant challenges lie ahead for the FDA in its regulation of food. These challenges will involve new public health problems, such as those presented by potent microorganisms in processed and unprocessed food. The challenges will also involve how to promote and meaningfully regulate the marketing of safer, more nutritious foods—e.g., food with less fat, less cholesterol, and less sodium. Addressing these challenges will be—and should be—a key part of the FDA’s functions as a public health protection agency. The GRAS concept provides the agency with a mechanism for concentrating its resources in these areas—and for shifting some of its traditional food additive type of functions away from substances which do not raise safety issues that only the agency is qualified to address. As a result, the general pace of decisionmaking could quicken because the scientific and technical staffs available for the review of safety issues would be subject to less diversions and able to concentrate on matters of high priority.</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bookmarkStart w:id="268" w:name="co_g_ID0ERIAI_1"/>
      <w:bookmarkEnd w:id="268"/>
      <w:r>
        <w:rPr>
          <w:rFonts w:ascii="Times New Roman" w:hAnsi="Times New Roman" w:cs="Times New Roman"/>
          <w:color w:val="000000"/>
          <w:sz w:val="20"/>
          <w:szCs w:val="20"/>
        </w:rPr>
        <w:t>Throughout its long history the FDA has successfully adapted its available legal tools and administrative processes to address new times and new challenges. Rethinking the applicability and usefulness of the GRAS concept will ensure that that process continues.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p>
    <w:tbl>
      <w:tblPr>
        <w:tblW w:w="0" w:type="auto"/>
        <w:tblLayout w:type="fixed"/>
        <w:tblCellMar>
          <w:left w:w="0" w:type="dxa"/>
          <w:right w:w="0" w:type="dxa"/>
        </w:tblCellMar>
        <w:tblLook w:val="0000" w:firstRow="0" w:lastRow="0" w:firstColumn="0" w:lastColumn="0" w:noHBand="0" w:noVBand="0"/>
      </w:tblPr>
      <w:tblGrid>
        <w:gridCol w:w="600"/>
        <w:gridCol w:w="9480"/>
      </w:tblGrid>
      <w:tr w:rsidR="00BA7631">
        <w:tc>
          <w:tcPr>
            <w:tcW w:w="10080" w:type="dxa"/>
            <w:gridSpan w:val="2"/>
            <w:tcBorders>
              <w:top w:val="nil"/>
              <w:left w:val="nil"/>
              <w:bottom w:val="nil"/>
              <w:right w:val="nil"/>
            </w:tcBorders>
            <w:tcMar>
              <w:top w:w="200" w:type="dxa"/>
            </w:tcMar>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Footnotes</w:t>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r>
      <w:bookmarkStart w:id="269" w:name="co_footnote_Fa101952054_1"/>
      <w:bookmarkEnd w:id="26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"#co_footnoteReference_Fa101952054_ID0ENPA"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a</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Mr. Degnan is a Partner in the law firm of King &amp; Spalding, Washington, D.C.</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0" w:name="co_footnote_F1101952054_1"/>
      <w:bookmarkEnd w:id="27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"#co_footnoteReference_F1101952054_ID0ETAA"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Pub.L. No. 85-929, 72 Stat. 1784 (1958) (codified at </w:t>
            </w:r>
            <w:hyperlink r:id="rId10" w:history="1">
              <w:r>
                <w:rPr>
                  <w:rFonts w:ascii="Times New Roman" w:hAnsi="Times New Roman" w:cs="Times New Roman"/>
                  <w:color w:val="0000FF"/>
                  <w:sz w:val="18"/>
                  <w:szCs w:val="18"/>
                </w:rPr>
                <w:t>21 U.S.C. § 348 (1988)</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1" w:name="co_footnote_F2101952054_1"/>
      <w:bookmarkEnd w:id="27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"#co_footnoteReference_F2101952054_ID0EMBA"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11" w:anchor="co_pp_822500008d090" w:history="1">
              <w:r w:rsidR="00CA2116">
                <w:rPr>
                  <w:rFonts w:ascii="Times New Roman" w:hAnsi="Times New Roman" w:cs="Times New Roman"/>
                  <w:color w:val="0000FF"/>
                  <w:sz w:val="18"/>
                  <w:szCs w:val="18"/>
                </w:rPr>
                <w:t>21 U.S.C. § 321(s)</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2" w:name="co_footnote_F3101952054_1"/>
      <w:bookmarkEnd w:id="27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"#co_footnoteReference_F3101952054_ID0EGEA"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H.R.REP. No. 2356, 82d Cong., 2d Sess. (1952).</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3" w:name="co_footnote_F4101952054_1"/>
      <w:bookmarkEnd w:id="27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"#co_footnoteReference_F4101952054_ID0ENEA"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4" w:name="co_footnote_F5101952054_1"/>
      <w:bookmarkEnd w:id="27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"#co_footnoteReference_F5101952054_ID0E4EA"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Pub.L. No. 75-717, 52 Stat. 1040 (1938), as amended </w:t>
            </w:r>
            <w:hyperlink r:id="rId12" w:history="1">
              <w:r>
                <w:rPr>
                  <w:rFonts w:ascii="Times New Roman" w:hAnsi="Times New Roman" w:cs="Times New Roman"/>
                  <w:color w:val="0000FF"/>
                  <w:sz w:val="18"/>
                  <w:szCs w:val="18"/>
                </w:rPr>
                <w:t>21 U.S.C. §§ 301</w:t>
              </w:r>
            </w:hyperlink>
            <w:r>
              <w:rPr>
                <w:rFonts w:ascii="Times New Roman" w:hAnsi="Times New Roman" w:cs="Times New Roman"/>
                <w:color w:val="000000"/>
                <w:sz w:val="18"/>
                <w:szCs w:val="18"/>
              </w:rPr>
              <w:t>-</w:t>
            </w:r>
            <w:hyperlink r:id="rId13" w:history="1">
              <w:r>
                <w:rPr>
                  <w:rFonts w:ascii="Times New Roman" w:hAnsi="Times New Roman" w:cs="Times New Roman"/>
                  <w:color w:val="0000FF"/>
                  <w:sz w:val="18"/>
                  <w:szCs w:val="18"/>
                </w:rPr>
                <w:t>392</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5" w:name="co_footnote_F6101952054_1"/>
      <w:bookmarkEnd w:id="27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"#co_footnoteReference_F6101952054_ID0EUFA"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Id. § 402, 52 Stat. at 1046-47, as amended </w:t>
            </w:r>
            <w:hyperlink r:id="rId14" w:history="1">
              <w:r>
                <w:rPr>
                  <w:rFonts w:ascii="Times New Roman" w:hAnsi="Times New Roman" w:cs="Times New Roman"/>
                  <w:color w:val="0000FF"/>
                  <w:sz w:val="18"/>
                  <w:szCs w:val="18"/>
                </w:rPr>
                <w:t>21 U.S.C. § 342</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6" w:name="co_footnote_F7101952054_1"/>
      <w:bookmarkEnd w:id="27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"#co_footnoteReference_F7101952054_ID0E2FA"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For an in depth discussion of section, 402, its history, and the role it has played in the agency’s regulation of added substances, see Merrill, Regulating Carcinogens in Food: A Legislator’s Guide to the Food Safety Provisions of the Federal Food, Drug, and Cosmetic Act, 77 MICH.L.REV. 171, 184-204 (1978).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7" w:name="co_footnote_F8101952054_1"/>
      <w:bookmarkEnd w:id="27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"#co_footnoteReference_F8101952054_ID0EQGA"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192-94.</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8" w:name="co_footnote_F9101952054_1"/>
      <w:bookmarkEnd w:id="27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"#co_footnoteReference_F9101952054_ID0EGIA"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H.R.REP. No. 2284, 85th Cong., 2d Sess. 1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79" w:name="co_footnote_F10101952054_1"/>
      <w:bookmarkEnd w:id="27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"#co_footnoteReference_F10101952054_ID0EYI"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4. See also S.REP. No. 2422, 85th Cong., 2d Sess. 6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0" w:name="co_footnote_F11101952054_1"/>
      <w:bookmarkEnd w:id="28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"#co_footnoteReference_F11101952054_ID0E4I"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Merrill, supra note 7, at 4, 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1" w:name="co_footnote_F12101952054_1"/>
      <w:bookmarkEnd w:id="28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"#co_footnoteReference_F12101952054_ID0ERJ"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Congress defined “food additive” as follows: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The term “food additive” means any substance the intended use of which results or may reasonably be expected to result, directly or indirectly, in its becoming a component or otherwise affecting the characteristics of any food (including any substance intended for use in producing, manufacturing, packing, processing, preparing, treating, packaging, transporting, or holding food; and including any source of radiation intended for any such use), if such substance is not generally recognized, among experts qualified by scientific training and experience to evaluate its safety, as having been adequately shown through scientific procedures (or, in the case of a substance used in food prior to January 1, 1958, through either scientific procedures or experience based on common use in food) to be safe under the conditions of its intended use; except that such term does not include—</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(1) a pesticide chemical in or on a raw agricultural commodity; or</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(2) a pesticide chemical to the extent that it is intended for use or is used in the production, storage, or transportation of any raw agricultural commodity; or</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(3) any substance used in accordance with a sanction or approval granted prior to the enactment of this paragraph pursuant to this Act, the Poultry Products Inspection Act (</w:t>
            </w:r>
            <w:hyperlink r:id="rId15" w:history="1">
              <w:r>
                <w:rPr>
                  <w:rFonts w:ascii="Times New Roman" w:hAnsi="Times New Roman" w:cs="Times New Roman"/>
                  <w:color w:val="0000FF"/>
                  <w:sz w:val="18"/>
                  <w:szCs w:val="18"/>
                </w:rPr>
                <w:t>21 U.S.C. 451</w:t>
              </w:r>
            </w:hyperlink>
            <w:r>
              <w:rPr>
                <w:rFonts w:ascii="Times New Roman" w:hAnsi="Times New Roman" w:cs="Times New Roman"/>
                <w:color w:val="000000"/>
                <w:sz w:val="18"/>
                <w:szCs w:val="18"/>
              </w:rPr>
              <w:t xml:space="preserve"> and the following) or the Meat Inspection Act of March 4, 1907 (34 Stat. 1260).</w:t>
            </w:r>
          </w:p>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16" w:anchor="co_pp_822500008d090" w:history="1">
              <w:r w:rsidR="00CA2116">
                <w:rPr>
                  <w:rFonts w:ascii="Times New Roman" w:hAnsi="Times New Roman" w:cs="Times New Roman"/>
                  <w:color w:val="0000FF"/>
                  <w:sz w:val="18"/>
                  <w:szCs w:val="18"/>
                </w:rPr>
                <w:t>21 U.S.C. § 321(s)</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2" w:name="co_footnote_F13101952054_1"/>
      <w:bookmarkEnd w:id="28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"#co_footnoteReference_F13101952054_ID0ERK"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Merrill, supra note 7, at 2.</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3" w:name="co_footnote_F14101952054_1"/>
      <w:bookmarkEnd w:id="28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"#co_footnoteReference_F14101952054_ID0ECL"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Chemical Additives in Food: Hearings on H.R. 4475 Before the Subcomm. on Health and Sci. of the House Comm. on Interstate and Foreign Commerce, 84th Cong., 2d Sess. 28 (1956) (statement of Rep. Delaney).</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4" w:name="co_footnote_F15101952054_1"/>
      <w:bookmarkEnd w:id="28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"#co_footnoteReference_F15101952054_ID0EGL"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5" w:name="co_footnote_F16101952054_1"/>
      <w:bookmarkEnd w:id="28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"#co_footnoteReference_F16101952054_ID0EYL"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The “new drug” definition was first codified when the 1938 Act passed. Interestingly, the definition did not appear in a proposed bill until April 1938, a mere two months before the Act—and the definition—became law. S.REP. No. 2139, 75th Cong., 3rd Sess. 3 (1938). In developing the definition, Congress relied upon language recommended by the Secretary of Agriculture in response to a national tragedy in the autumn of 1937 involving an unsafe drug, Elixir Sulfanilamide. See C.W. DUNN, FEDERAL FOOD, DRUG, </w:t>
            </w:r>
            <w:proofErr w:type="gramStart"/>
            <w:r>
              <w:rPr>
                <w:rFonts w:ascii="Times New Roman" w:hAnsi="Times New Roman" w:cs="Times New Roman"/>
                <w:color w:val="000000"/>
                <w:sz w:val="18"/>
                <w:szCs w:val="18"/>
              </w:rPr>
              <w:t>COSMETIC</w:t>
            </w:r>
            <w:proofErr w:type="gramEnd"/>
            <w:r>
              <w:rPr>
                <w:rFonts w:ascii="Times New Roman" w:hAnsi="Times New Roman" w:cs="Times New Roman"/>
                <w:color w:val="000000"/>
                <w:sz w:val="18"/>
                <w:szCs w:val="18"/>
              </w:rPr>
              <w:t xml:space="preserve"> ACT: A STATEMENT OF ITS LEGISLATIVE RECORD 1326 (1938). Legislative history reveals that the new drug requirements were not the subject of significant debate. The only key addition Congress made to the Secretary’s recommended new drug language was the condition that “general recognition” be by “qualified experts.”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The “general recognition” language also appears in section 408 of the Act concerning pesticide tolerances. The provision, suggested by the American Medical Association (AMA), was added late in the legislative process to provide an exemption to the requirement that pesticide chemicals be subject to tolerances. Pesticide Tolerances: Hearings on H.R. 4277 Before a Subcomm. </w:t>
            </w:r>
            <w:proofErr w:type="gramStart"/>
            <w:r>
              <w:rPr>
                <w:rFonts w:ascii="Times New Roman" w:hAnsi="Times New Roman" w:cs="Times New Roman"/>
                <w:color w:val="000000"/>
                <w:sz w:val="18"/>
                <w:szCs w:val="18"/>
              </w:rPr>
              <w:t>of</w:t>
            </w:r>
            <w:proofErr w:type="gramEnd"/>
            <w:r>
              <w:rPr>
                <w:rFonts w:ascii="Times New Roman" w:hAnsi="Times New Roman" w:cs="Times New Roman"/>
                <w:color w:val="000000"/>
                <w:sz w:val="18"/>
                <w:szCs w:val="18"/>
              </w:rPr>
              <w:t xml:space="preserve"> the House </w:t>
            </w:r>
            <w:r>
              <w:rPr>
                <w:rFonts w:ascii="Times New Roman" w:hAnsi="Times New Roman" w:cs="Times New Roman"/>
                <w:color w:val="000000"/>
                <w:sz w:val="18"/>
                <w:szCs w:val="18"/>
              </w:rPr>
              <w:lastRenderedPageBreak/>
              <w:t>Comm. on Interstate and Foreign Commerce, 83rd Cong., 1st Sess. 139 (1953). As the AMA explained, the provision permitted pesticides on foods in quantities that “had conclusively been shown to be safe.” 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6" w:name="co_footnote_F17101952054_1"/>
      <w:bookmarkEnd w:id="28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"#co_footnoteReference_F17101952054_ID0E2L"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H.R.REP. No. 4475, 84th Cong., 1st Sess. (1955).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7" w:name="co_footnote_F18101952054_1"/>
      <w:bookmarkEnd w:id="28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"#co_footnoteReference_F18101952054_ID0EMN"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H.R.REP. No. 7605, 84th Cong., 1st Sess. (1955).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8" w:name="co_footnote_F19101952054_1"/>
      <w:bookmarkEnd w:id="28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"#co_footnoteReference_F19101952054_ID0EZQ"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Hearings on H.R. 4475, supra note 14, at 203-04 (statement of Comm’r George P. Larrick).</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89" w:name="co_footnote_F20101952054_1"/>
      <w:bookmarkEnd w:id="28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"#co_footnoteReference_F20101952054_ID0EXR"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121.</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0" w:name="co_footnote_F21101952054_1"/>
      <w:bookmarkEnd w:id="29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"#co_footnoteReference_F21101952054_ID0E4S"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150.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1" w:name="co_footnote_F22101952054_1"/>
      <w:bookmarkEnd w:id="29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"#co_footnoteReference_F22101952054_ID0EMT"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e.g., testimony of H. Thomas Austern, id. </w:t>
            </w:r>
            <w:proofErr w:type="gramStart"/>
            <w:r>
              <w:rPr>
                <w:rFonts w:ascii="Times New Roman" w:hAnsi="Times New Roman" w:cs="Times New Roman"/>
                <w:color w:val="000000"/>
                <w:sz w:val="18"/>
                <w:szCs w:val="18"/>
              </w:rPr>
              <w:t>at</w:t>
            </w:r>
            <w:proofErr w:type="gramEnd"/>
            <w:r>
              <w:rPr>
                <w:rFonts w:ascii="Times New Roman" w:hAnsi="Times New Roman" w:cs="Times New Roman"/>
                <w:color w:val="000000"/>
                <w:sz w:val="18"/>
                <w:szCs w:val="18"/>
              </w:rPr>
              <w:t xml:space="preserve"> 64-65.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2" w:name="co_footnote_F23101952054_1"/>
      <w:bookmarkEnd w:id="29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"#co_footnoteReference_F23101952054_ID0ENV"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Food Additives: Hearings Before the Subcomm. on Health and Science of the House Comm. on Interstate and Foreign Commerce, 85th Cong., 1st Sess. 64-65 (1957) (statement of Charles Wesley Dunn).</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3" w:name="co_footnote_F24101952054_1"/>
      <w:bookmarkEnd w:id="29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"#co_footnoteReference_F24101952054_ID0EQW"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Hearings on H.R. 4475, supra note 14, at 228.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4" w:name="co_footnote_F25101952054_1"/>
      <w:bookmarkEnd w:id="29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"#co_footnoteReference_F25101952054_ID0ETW"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5" w:name="co_footnote_F26101952054_1"/>
      <w:bookmarkEnd w:id="29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"#co_footnoteReference_F26101952054_ID0E1Y"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Hearings on Food Additives, supra note 23, at 455-56 (statement of George P. Larrick).</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6" w:name="co_footnote_F27101952054_1"/>
      <w:bookmarkEnd w:id="29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"#co_footnoteReference_F27101952054_ID0EF1"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e.g., Hearings on H.R. 4475, supra note 14, at 123, 206, 227-29; Hearings on Food Additives, supra note 23, at 64-65, 209, </w:t>
            </w:r>
            <w:proofErr w:type="gramStart"/>
            <w:r>
              <w:rPr>
                <w:rFonts w:ascii="Times New Roman" w:hAnsi="Times New Roman" w:cs="Times New Roman"/>
                <w:color w:val="000000"/>
                <w:sz w:val="18"/>
                <w:szCs w:val="18"/>
              </w:rPr>
              <w:t>220</w:t>
            </w:r>
            <w:proofErr w:type="gramEnd"/>
            <w:r>
              <w:rPr>
                <w:rFonts w:ascii="Times New Roman" w:hAnsi="Times New Roman" w:cs="Times New Roman"/>
                <w:color w:val="000000"/>
                <w:sz w:val="18"/>
                <w:szCs w:val="18"/>
              </w:rPr>
              <w:t xml:space="preserve">. Indeed the FDA, on numerous occasions, has acknowledged the availability of this option. See, e.g., </w:t>
            </w:r>
            <w:hyperlink r:id="rId17" w:history="1">
              <w:r>
                <w:rPr>
                  <w:rFonts w:ascii="Times New Roman" w:hAnsi="Times New Roman" w:cs="Times New Roman"/>
                  <w:color w:val="0000FF"/>
                  <w:sz w:val="18"/>
                  <w:szCs w:val="18"/>
                </w:rPr>
                <w:t>39 Fed.Reg. 34,186 (1974)</w:t>
              </w:r>
            </w:hyperlink>
            <w:r>
              <w:rPr>
                <w:rFonts w:ascii="Times New Roman" w:hAnsi="Times New Roman" w:cs="Times New Roman"/>
                <w:color w:val="000000"/>
                <w:sz w:val="18"/>
                <w:szCs w:val="18"/>
              </w:rPr>
              <w:t xml:space="preserve">; Harvey, Administration of the Food Additives Amendment of 1958, 13 FOOD DRUG COSM.L.J. 757 (1958); Harvey, Food Additives, 15 FOOD DRUG COSM.L.J. 305, 309 (1960). See also </w:t>
            </w:r>
            <w:hyperlink r:id="rId18" w:anchor="co_pp_sp_1037_58456" w:history="1">
              <w:r>
                <w:rPr>
                  <w:rFonts w:ascii="Times New Roman" w:hAnsi="Times New Roman" w:cs="Times New Roman"/>
                  <w:color w:val="0000FF"/>
                  <w:sz w:val="18"/>
                  <w:szCs w:val="18"/>
                </w:rPr>
                <w:t>48 Fed.Reg. 58,456, 58,458 (1983)</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7" w:name="co_footnote_F28101952054_1"/>
      <w:bookmarkEnd w:id="29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"#co_footnoteReference_F28101952054_ID0EG2"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H.R.REP. No. 2284, 85th Cong., 2d Sess. 3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8" w:name="co_footnote_F29101952054_1"/>
      <w:bookmarkEnd w:id="29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"#co_footnoteReference_F29101952054_ID0EU2"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29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299" w:name="co_footnote_F30101952054_1"/>
      <w:bookmarkEnd w:id="29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"#co_footnoteReference_F30101952054_ID0EY2"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The bill also exempted pesticide chemicals—or substances on raw agricultural commodities and pesticide residues in processed foods provided the pesticide or its residue fell under another regulatory scheme designed to establish safety. 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0" w:name="co_footnote_F31101952054_1"/>
      <w:bookmarkEnd w:id="30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"#co_footnoteReference_F31101952054_ID0E54"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Pub.L. No. 85-929, § 6(c), 72 Stat. at 1784.</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1" w:name="co_footnote_F32101952054_1"/>
      <w:bookmarkEnd w:id="30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"#co_footnoteReference_F32101952054_ID0EM5"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Food Additives—Extension of Transitional Provisions of the Food Additive Amendment: Hearings on H.R. 3980 Before the House Comm. on Interstate and Foreign Commerce, 87th Cong., 1st Sess. 3 (1961) (statement of Abraham Ribicoff, Sec’y of Health, Educ. and Welfare).</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2" w:name="co_footnote_F33101952054_1"/>
      <w:bookmarkEnd w:id="30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"#co_footnoteReference_F33101952054_ID0E45"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3" w:name="co_footnote_F34101952054_1"/>
      <w:bookmarkEnd w:id="30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"#co_footnoteReference_F34101952054_ID0EN6"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generally H.R.REP. No. 53, 87th Cong., 1st Sess. (1961).</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4" w:name="co_footnote_F35101952054_1"/>
      <w:bookmarkEnd w:id="30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"#co_footnoteReference_F35101952054_ID0ENA"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Harvey, Administrative Policy in the Administration Enforcement of the Food Additives Amendment, 13 FOOD DRUG COSM.L.J. 615, 617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5" w:name="co_footnote_F36101952054_1"/>
      <w:bookmarkEnd w:id="30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"#co_footnoteReference_F36101952054_ID0E6A"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Id. See also Kirk, Food Additives as Viewed by the Food and Drug Administration, </w:t>
            </w:r>
            <w:proofErr w:type="gramStart"/>
            <w:r>
              <w:rPr>
                <w:rFonts w:ascii="Times New Roman" w:hAnsi="Times New Roman" w:cs="Times New Roman"/>
                <w:color w:val="000000"/>
                <w:sz w:val="18"/>
                <w:szCs w:val="18"/>
              </w:rPr>
              <w:t>15</w:t>
            </w:r>
            <w:proofErr w:type="gramEnd"/>
            <w:r>
              <w:rPr>
                <w:rFonts w:ascii="Times New Roman" w:hAnsi="Times New Roman" w:cs="Times New Roman"/>
                <w:color w:val="000000"/>
                <w:sz w:val="18"/>
                <w:szCs w:val="18"/>
              </w:rPr>
              <w:t xml:space="preserve"> FOOD DRUG COSM.L.J. 603 (1960).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6" w:name="co_footnote_F37101952054_1"/>
      <w:bookmarkEnd w:id="30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"#co_footnoteReference_F37101952054_ID0EGC"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Checchi, Food Additives Amendment—Requirements and Proposed Regulations, 13 FOOD DRUG COSM.L.J. 767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7" w:name="co_footnote_F38101952054_1"/>
      <w:bookmarkEnd w:id="30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"#co_footnoteReference_F38101952054_ID0ELC"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8" w:name="co_footnote_F39101952054_1"/>
      <w:bookmarkEnd w:id="30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"#co_footnoteReference_F39101952054_ID0EQC"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39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09" w:name="co_footnote_F40101952054_1"/>
      <w:bookmarkEnd w:id="30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"#co_footnoteReference_F40101952054_ID0E6C"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0" w:name="co_footnote_F41101952054_1"/>
      <w:bookmarkEnd w:id="31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"#co_footnoteReference_F41101952054_ID0ERD"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19" w:history="1">
              <w:r w:rsidR="00CA2116">
                <w:rPr>
                  <w:rFonts w:ascii="Times New Roman" w:hAnsi="Times New Roman" w:cs="Times New Roman"/>
                  <w:color w:val="0000FF"/>
                  <w:sz w:val="18"/>
                  <w:szCs w:val="18"/>
                </w:rPr>
                <w:t>23 Fed.Reg. 9512 (1958)</w:t>
              </w:r>
            </w:hyperlink>
            <w:r w:rsidR="00CA2116">
              <w:rPr>
                <w:rFonts w:ascii="Times New Roman" w:hAnsi="Times New Roman" w:cs="Times New Roman"/>
                <w:color w:val="000000"/>
                <w:sz w:val="18"/>
                <w:szCs w:val="18"/>
              </w:rPr>
              <w:t xml:space="preserve"> (proposed 21 C.F.R. § 121.7 (1958)). Among the substances listed were common emulsifiers, stabilizers, nutrients, preservatives, antioxidents, and antimycotics.</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1" w:name="co_footnote_F42101952054_1"/>
      <w:bookmarkEnd w:id="31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"#co_footnoteReference_F42101952054_ID0E4D"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0" w:anchor="co_pp_sp_1037_9512" w:history="1">
              <w:r w:rsidR="00CA2116">
                <w:rPr>
                  <w:rFonts w:ascii="Times New Roman" w:hAnsi="Times New Roman" w:cs="Times New Roman"/>
                  <w:color w:val="0000FF"/>
                  <w:sz w:val="18"/>
                  <w:szCs w:val="18"/>
                </w:rPr>
                <w:t>23 Fed.Reg. 9511, 9512 (1958)</w:t>
              </w:r>
            </w:hyperlink>
            <w:r w:rsidR="00CA2116">
              <w:rPr>
                <w:rFonts w:ascii="Times New Roman" w:hAnsi="Times New Roman" w:cs="Times New Roman"/>
                <w:color w:val="000000"/>
                <w:sz w:val="18"/>
                <w:szCs w:val="18"/>
              </w:rPr>
              <w:t xml:space="preserve"> (proposed 21 C.F.R. § 121.3 (1958)).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2" w:name="co_footnote_F43101952054_1"/>
      <w:bookmarkEnd w:id="31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"#co_footnoteReference_F43101952054_ID0EME"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Goodrich, Safe Food Additives and Additives Generally Recognized as Safe, There is a Difference, 15 FOOD DRUG COSM.L.J. 625, 630 (1960).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3" w:name="co_footnote_F44101952054_1"/>
      <w:bookmarkEnd w:id="31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"#co_footnoteReference_F44101952054_ID0EUE"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Goodrich, The Beginning Point Under the Food Additives Amendment, 14 FOOD DRUG COSM.L.J. 584, 587 (1959).</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4" w:name="co_footnote_F45101952054_1"/>
      <w:bookmarkEnd w:id="31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"#co_footnoteReference_F45101952054_ID0EZE"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5" w:name="co_footnote_F46101952054_1"/>
      <w:bookmarkEnd w:id="31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"#co_footnoteReference_F46101952054_ID0E5E"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6" w:name="co_footnote_F47101952054_1"/>
      <w:bookmarkEnd w:id="31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"#co_footnoteReference_F47101952054_ID0EDF"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7" w:name="co_footnote_F48101952054_1"/>
      <w:bookmarkEnd w:id="31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"#co_footnoteReference_F48101952054_ID0E3F"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588.</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8" w:name="co_footnote_F49101952054_1"/>
      <w:bookmarkEnd w:id="31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"#co_footnoteReference_F49101952054_ID0EOG"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49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1" w:history="1">
              <w:r w:rsidR="00CA2116">
                <w:rPr>
                  <w:rFonts w:ascii="Times New Roman" w:hAnsi="Times New Roman" w:cs="Times New Roman"/>
                  <w:color w:val="0000FF"/>
                  <w:sz w:val="18"/>
                  <w:szCs w:val="18"/>
                </w:rPr>
                <w:t>24 Fed.Reg. 9368 (1959)</w:t>
              </w:r>
            </w:hyperlink>
            <w:r w:rsidR="00CA2116">
              <w:rPr>
                <w:rFonts w:ascii="Times New Roman" w:hAnsi="Times New Roman" w:cs="Times New Roman"/>
                <w:color w:val="000000"/>
                <w:sz w:val="18"/>
                <w:szCs w:val="18"/>
              </w:rPr>
              <w:t xml:space="preserve">. The agency did not, at this time, finalize the other sections of the proposed regulation. The remainder of proposed regulations were finalized on December 23, 1965. </w:t>
            </w:r>
            <w:hyperlink r:id="rId22" w:history="1">
              <w:r w:rsidR="00CA2116">
                <w:rPr>
                  <w:rFonts w:ascii="Times New Roman" w:hAnsi="Times New Roman" w:cs="Times New Roman"/>
                  <w:color w:val="0000FF"/>
                  <w:sz w:val="18"/>
                  <w:szCs w:val="18"/>
                </w:rPr>
                <w:t>30 Fed.Reg. 15,845 (1965)</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19" w:name="co_footnote_F50101952054_1"/>
      <w:bookmarkEnd w:id="31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"#co_footnoteReference_F50101952054_ID0ETG"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The ingredients were charcoal, carbon black, oleic acid, linoleic acid, titanium dioxide, and ultra-marine blue.</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0" w:name="co_footnote_F51101952054_1"/>
      <w:bookmarkEnd w:id="32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"#co_footnoteReference_F51101952054_ID0E1H"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Larrick, Status of Food Additives, 15 FOOD DRUG COSM.L.J. 268, 270 (1960).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1" w:name="co_footnote_F52101952054_1"/>
      <w:bookmarkEnd w:id="32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"#co_footnoteReference_F52101952054_ID0E2I"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3" w:history="1">
              <w:r w:rsidR="00CA2116">
                <w:rPr>
                  <w:rFonts w:ascii="Times New Roman" w:hAnsi="Times New Roman" w:cs="Times New Roman"/>
                  <w:color w:val="0000FF"/>
                  <w:sz w:val="18"/>
                  <w:szCs w:val="18"/>
                </w:rPr>
                <w:t>24 Fed.Reg. 9368 (1959)</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2" w:name="co_footnote_F53101952054_1"/>
      <w:bookmarkEnd w:id="32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"#co_footnoteReference_F53101952054_ID0EYJ"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Goodrich, supra note 43, at 627 (“The GRAS list is advisory only. If any substance listed were used contrary to the conditions specified in the GRAS list, the burden would be on the Department to prove in an enforcement case that it is not generally recognized as safe....”).</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3" w:name="co_footnote_F54101952054_1"/>
      <w:bookmarkEnd w:id="32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"#co_footnoteReference_F54101952054_ID0E2J"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Kirk, Food Additives as Viewed by the Food and Drug Administration, 15 FOOD DRUG COSM.L.J. 603 (1960).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4" w:name="co_footnote_F55101952054_1"/>
      <w:bookmarkEnd w:id="32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"#co_footnoteReference_F55101952054_ID0E5J"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Checchi, supra note 37, at 768 (“We welcome ... suggestions for changes and additions and trust that they will be forthcoming. The list by no means represents our final judgment.”).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5" w:name="co_footnote_F56101952054_1"/>
      <w:bookmarkEnd w:id="32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"#co_footnoteReference_F56101952054_ID0ECK"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 shudder to think of the difficulty in securing general agreement on each specification and each usage. I sincerely hope it does not come to this. If it does, we may be so hopelessly tied up with trying to find out what is not subject to the amendment that we won’t be able to deal effectively with that which is.</w:t>
            </w:r>
          </w:p>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Checchi, Food Additives Procedures and Policies, 14 FOOD DRUG COSM.L.J. 591, 592 (1959).</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6" w:name="co_footnote_F57101952054_1"/>
      <w:bookmarkEnd w:id="32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"#co_footnoteReference_F57101952054_ID0EUK"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Harvey, supra note 35, at 617.</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7" w:name="co_footnote_F58101952054_1"/>
      <w:bookmarkEnd w:id="32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"#co_footnoteReference_F58101952054_ID0ENL"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FDA Questions &amp; Answers, 15 FOOD DRUG COSM.L.J. 222 (1960).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8" w:name="co_footnote_F59101952054_1"/>
      <w:bookmarkEnd w:id="32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"#co_footnoteReference_F59101952054_ID0E3L"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59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Hearings on H.R. 3980, supra note 32, at 13 (statement of Comm’r George P. Larrick).</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29" w:name="co_footnote_F60101952054_1"/>
      <w:bookmarkEnd w:id="32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"#co_footnoteReference_F60101952054_ID0EBM"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0" w:name="co_footnote_F61101952054_1"/>
      <w:bookmarkEnd w:id="33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"#co_footnoteReference_F61101952054_ID0E6M"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4" w:history="1">
              <w:r w:rsidR="00CA2116">
                <w:rPr>
                  <w:rFonts w:ascii="Times New Roman" w:hAnsi="Times New Roman" w:cs="Times New Roman"/>
                  <w:color w:val="0000FF"/>
                  <w:sz w:val="18"/>
                  <w:szCs w:val="18"/>
                </w:rPr>
                <w:t>23 Fed.Reg. 9512 (1958)</w:t>
              </w:r>
            </w:hyperlink>
            <w:r w:rsidR="00CA2116">
              <w:rPr>
                <w:rFonts w:ascii="Times New Roman" w:hAnsi="Times New Roman" w:cs="Times New Roman"/>
                <w:color w:val="000000"/>
                <w:sz w:val="18"/>
                <w:szCs w:val="18"/>
              </w:rPr>
              <w:t xml:space="preserve"> (emphasis added).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1" w:name="co_footnote_F62101952054_1"/>
      <w:bookmarkEnd w:id="33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"#co_footnoteReference_F62101952054_ID0EQO"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Harvey, supra note 27, at 309.</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2" w:name="co_footnote_F63101952054_1"/>
      <w:bookmarkEnd w:id="33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"#co_footnoteReference_F63101952054_ID0ENP"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Roberts, Food Additives—A Study in the Evolution of Safety, 31 FOOD DRUG COSM.L.J. 404, 407 (1976).</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3" w:name="co_footnote_F64101952054_1"/>
      <w:bookmarkEnd w:id="33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"#co_footnoteReference_F64101952054_ID0EJQ"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Beacham, Current Aspects of the Food Additives Amendment, 16 FOOD DRUG COSM.L.J. 261 (1961).</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4" w:name="co_footnote_F65101952054_1"/>
      <w:bookmarkEnd w:id="33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"#co_footnoteReference_F65101952054_ID0ETQ"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5" w:history="1">
              <w:r w:rsidR="00CA2116">
                <w:rPr>
                  <w:rFonts w:ascii="Times New Roman" w:hAnsi="Times New Roman" w:cs="Times New Roman"/>
                  <w:color w:val="0000FF"/>
                  <w:sz w:val="18"/>
                  <w:szCs w:val="18"/>
                </w:rPr>
                <w:t>23 Fed.Reg. 9516 (1958)</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5" w:name="co_footnote_F66101952054_1"/>
      <w:bookmarkEnd w:id="33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"#co_footnoteReference_F66101952054_ID0EYR"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e.g., Hall &amp; Oser, Recent Progress in the Consideration of Flavoring Ingredients Under the Food Additives Amendments, 15 FOOD TECH., Dec. 1961, at 20; 19 FOOD TECH., Feb. 1965, at 151; 24 FOOD TECH., May 1970, at 25; 26 FOOD TECH., May 1972, at 35.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6" w:name="co_footnote_F67101952054_1"/>
      <w:bookmarkEnd w:id="33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"#co_footnoteReference_F67101952054_ID0EMS"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e.g., Oser &amp; Ford, GRAS Substances, 33 FOOD TECH., July 1979, at 65; Oser, Ford &amp; Bernard, GRAS Substances, 39 FOOD TECH., Oct. 1984, at 66.</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7" w:name="co_footnote_F68101952054_1"/>
      <w:bookmarkEnd w:id="33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"#co_footnoteReference_F68101952054_ID0ELT"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Roberts, supra note 63, at 409.</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8" w:name="co_footnote_F69101952054_1"/>
      <w:bookmarkEnd w:id="33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"#co_footnoteReference_F69101952054_ID0EJV"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69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6" w:history="1">
              <w:r w:rsidR="00CA2116">
                <w:rPr>
                  <w:rFonts w:ascii="Times New Roman" w:hAnsi="Times New Roman" w:cs="Times New Roman"/>
                  <w:color w:val="0000FF"/>
                  <w:sz w:val="18"/>
                  <w:szCs w:val="18"/>
                </w:rPr>
                <w:t>34 Fed.Reg. 17,063 (1969)</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39" w:name="co_footnote_F70101952054_1"/>
      <w:bookmarkEnd w:id="33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"#co_footnoteReference_F70101952054_ID0EYV"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Merrill &amp; Taylor, Saccharin, A Case Study of Government Regulation of Environmental Carcinogens, 5 VA.J.NAT.RES.L. 1 (1985).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0" w:name="co_footnote_F71101952054_1"/>
      <w:bookmarkEnd w:id="34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"#co_footnoteReference_F71101952054_ID0E4V"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Message from the President of the United States, Doc. No. 91-188, 91st Cong., 1st Sess. (1990).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1" w:name="co_footnote_F72101952054_1"/>
      <w:bookmarkEnd w:id="34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"#co_footnoteReference_F72101952054_ID0EBW"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7" w:history="1">
              <w:r w:rsidR="00CA2116">
                <w:rPr>
                  <w:rFonts w:ascii="Times New Roman" w:hAnsi="Times New Roman" w:cs="Times New Roman"/>
                  <w:color w:val="0000FF"/>
                  <w:sz w:val="18"/>
                  <w:szCs w:val="18"/>
                </w:rPr>
                <w:t>35 Fed.Reg. 18,623 (1970)</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2" w:name="co_footnote_F73101952054_1"/>
      <w:bookmarkEnd w:id="34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"#co_footnoteReference_F73101952054_ID0EAX"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3" w:name="co_footnote_F74101952054_1"/>
      <w:bookmarkEnd w:id="34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"#co_footnoteReference_F74101952054_ID0EFX"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28" w:history="1">
              <w:r w:rsidR="00CA2116">
                <w:rPr>
                  <w:rFonts w:ascii="Times New Roman" w:hAnsi="Times New Roman" w:cs="Times New Roman"/>
                  <w:color w:val="0000FF"/>
                  <w:sz w:val="18"/>
                  <w:szCs w:val="18"/>
                </w:rPr>
                <w:t>36 Fed.Reg. 12,093 (1971)</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4" w:name="co_footnote_F75101952054_1"/>
      <w:bookmarkEnd w:id="34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"#co_footnoteReference_F75101952054_ID0ETX"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12,093.</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5" w:name="co_footnote_F76101952054_1"/>
      <w:bookmarkEnd w:id="34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"#co_footnoteReference_F76101952054_ID0EAY"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6" w:name="co_footnote_F77101952054_1"/>
      <w:bookmarkEnd w:id="34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"#co_footnoteReference_F77101952054_ID0EXZ"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at 12,094.</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7" w:name="co_footnote_F78101952054_1"/>
      <w:bookmarkEnd w:id="34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"#co_footnoteReference_F78101952054_ID0ET1"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Or, as one commentator on the regulation observed, that “some GRAS substances are more GRAS than others.” Middlekauff, Food Safety Review—New Concepts for GRAS, 30 FOOD DRUG COSM.L.J. 288, 291 (1975).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8" w:name="co_footnote_F79101952054_1"/>
      <w:bookmarkEnd w:id="34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"#co_footnoteReference_F79101952054_ID0EE2"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79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21 C.F.R. § 121.3 (1971) (now codified at </w:t>
            </w:r>
            <w:hyperlink r:id="rId29" w:history="1">
              <w:r>
                <w:rPr>
                  <w:rFonts w:ascii="Times New Roman" w:hAnsi="Times New Roman" w:cs="Times New Roman"/>
                  <w:color w:val="0000FF"/>
                  <w:sz w:val="18"/>
                  <w:szCs w:val="18"/>
                </w:rPr>
                <w:t>21 C.F.R. § 170.30 (1991)</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49" w:name="co_footnote_F80101952054_1"/>
      <w:bookmarkEnd w:id="34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"#co_footnoteReference_F80101952054_ID0EU2"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0" w:name="co_footnote_F81101952054_1"/>
      <w:bookmarkEnd w:id="35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"#co_footnoteReference_F81101952054_ID0EY3"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This provision immediately generated much debate over the need for application of food additive/GRAS considerations to the development and “breeding” of food crops. The provision was published without the benefit of comprehensive studies on whether the nutritional value of food crops or their natural toxicant levels had varied over time. As more information became available, it became evident that neither a toxicity nor a nutrition problem existed. As a result, no significant GRAS-related regulation has developed in this area. See generally CROP SCI. SOC’Y OF AM., THE EFFECT OF FDA (GRAS) REGULATIONS ON PLANT BREEDING AND PROCESSING (C.H. Hanson 1974); Horticulture and the GRAS Program, </w:t>
            </w:r>
            <w:proofErr w:type="gramStart"/>
            <w:r>
              <w:rPr>
                <w:rFonts w:ascii="Times New Roman" w:hAnsi="Times New Roman" w:cs="Times New Roman"/>
                <w:color w:val="000000"/>
                <w:sz w:val="18"/>
                <w:szCs w:val="18"/>
              </w:rPr>
              <w:t>Symp.Proc.,</w:t>
            </w:r>
            <w:proofErr w:type="gramEnd"/>
            <w:r>
              <w:rPr>
                <w:rFonts w:ascii="Times New Roman" w:hAnsi="Times New Roman" w:cs="Times New Roman"/>
                <w:color w:val="000000"/>
                <w:sz w:val="18"/>
                <w:szCs w:val="18"/>
              </w:rPr>
              <w:t xml:space="preserve"> 10(c) HORT.SCI., June 1975, at 241.</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1" w:name="co_footnote_F82101952054_1"/>
      <w:bookmarkEnd w:id="35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"#co_footnoteReference_F82101952054_ID0E5A"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e.g., Kaplan, Safety and GRAS Status or Has the GRAS List Gone to Pot</w:t>
            </w:r>
            <w:proofErr w:type="gramStart"/>
            <w:r>
              <w:rPr>
                <w:rFonts w:ascii="Times New Roman" w:hAnsi="Times New Roman" w:cs="Times New Roman"/>
                <w:color w:val="000000"/>
                <w:sz w:val="18"/>
                <w:szCs w:val="18"/>
              </w:rPr>
              <w:t>?,</w:t>
            </w:r>
            <w:proofErr w:type="gramEnd"/>
            <w:r>
              <w:rPr>
                <w:rFonts w:ascii="Times New Roman" w:hAnsi="Times New Roman" w:cs="Times New Roman"/>
                <w:color w:val="000000"/>
                <w:sz w:val="18"/>
                <w:szCs w:val="18"/>
              </w:rPr>
              <w:t xml:space="preserve"> 27 FOOD DRUG COSM.L.J. 98 (1972).</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2" w:name="co_footnote_F83101952054_1"/>
      <w:bookmarkEnd w:id="35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"#co_footnoteReference_F83101952054_ID0E3B"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30" w:history="1">
              <w:r w:rsidR="00CA2116">
                <w:rPr>
                  <w:rFonts w:ascii="Times New Roman" w:hAnsi="Times New Roman" w:cs="Times New Roman"/>
                  <w:color w:val="0000FF"/>
                  <w:sz w:val="18"/>
                  <w:szCs w:val="18"/>
                </w:rPr>
                <w:t>39 Fed.Reg. 34,194 (1974)</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3" w:name="co_footnote_F84101952054_1"/>
      <w:bookmarkEnd w:id="35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"#co_footnoteReference_F84101952054_ID0EEC"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31" w:history="1">
              <w:r w:rsidR="00CA2116">
                <w:rPr>
                  <w:rFonts w:ascii="Times New Roman" w:hAnsi="Times New Roman" w:cs="Times New Roman"/>
                  <w:color w:val="0000FF"/>
                  <w:sz w:val="18"/>
                  <w:szCs w:val="18"/>
                </w:rPr>
                <w:t>412 U.S. 609 (1973)</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4" w:name="co_footnote_F85101952054_1"/>
      <w:bookmarkEnd w:id="35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"#co_footnoteReference_F85101952054_ID0EVC"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See supra note 83.</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5" w:name="co_footnote_F86101952054_1"/>
      <w:bookmarkEnd w:id="35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"#co_footnoteReference_F86101952054_ID0EZC"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This concept is now codified at </w:t>
            </w:r>
            <w:hyperlink r:id="rId32" w:anchor="co_pp_a83b000018c76" w:history="1">
              <w:r>
                <w:rPr>
                  <w:rFonts w:ascii="Times New Roman" w:hAnsi="Times New Roman" w:cs="Times New Roman"/>
                  <w:color w:val="0000FF"/>
                  <w:sz w:val="18"/>
                  <w:szCs w:val="18"/>
                </w:rPr>
                <w:t>21 C.F.R. § 170.30(b)</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6" w:name="co_footnote_F87101952054_1"/>
      <w:bookmarkEnd w:id="35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"#co_footnoteReference_F87101952054_ID0ERD"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33" w:history="1">
              <w:r w:rsidR="00CA2116">
                <w:rPr>
                  <w:rFonts w:ascii="Times New Roman" w:hAnsi="Times New Roman" w:cs="Times New Roman"/>
                  <w:color w:val="0000FF"/>
                  <w:sz w:val="18"/>
                  <w:szCs w:val="18"/>
                </w:rPr>
                <w:t>41 Fed.Reg. 53,600 (1976)</w:t>
              </w:r>
            </w:hyperlink>
            <w:r w:rsidR="00CA2116">
              <w:rPr>
                <w:rFonts w:ascii="Times New Roman" w:hAnsi="Times New Roman" w:cs="Times New Roman"/>
                <w:color w:val="000000"/>
                <w:sz w:val="18"/>
                <w:szCs w:val="18"/>
              </w:rPr>
              <w:t xml:space="preserve"> (now codified at </w:t>
            </w:r>
            <w:hyperlink r:id="rId34" w:history="1">
              <w:r w:rsidR="00CA2116">
                <w:rPr>
                  <w:rFonts w:ascii="Times New Roman" w:hAnsi="Times New Roman" w:cs="Times New Roman"/>
                  <w:color w:val="0000FF"/>
                  <w:sz w:val="18"/>
                  <w:szCs w:val="18"/>
                </w:rPr>
                <w:t>21 C.F.R. § 170.30</w:t>
              </w:r>
            </w:hyperlink>
            <w:r w:rsidR="00CA2116">
              <w:rPr>
                <w:rFonts w:ascii="Times New Roman" w:hAnsi="Times New Roman" w:cs="Times New Roman"/>
                <w:color w:val="000000"/>
                <w:sz w:val="18"/>
                <w:szCs w:val="18"/>
              </w:rPr>
              <w:t xml:space="preserve">, -. </w:t>
            </w:r>
            <w:hyperlink r:id="rId35" w:history="1">
              <w:r w:rsidR="00CA2116">
                <w:rPr>
                  <w:rFonts w:ascii="Times New Roman" w:hAnsi="Times New Roman" w:cs="Times New Roman"/>
                  <w:color w:val="0000FF"/>
                  <w:sz w:val="18"/>
                  <w:szCs w:val="18"/>
                </w:rPr>
                <w:t>35</w:t>
              </w:r>
            </w:hyperlink>
            <w:r w:rsidR="00CA2116">
              <w:rPr>
                <w:rFonts w:ascii="Times New Roman" w:hAnsi="Times New Roman" w:cs="Times New Roman"/>
                <w:color w:val="000000"/>
                <w:sz w:val="18"/>
                <w:szCs w:val="18"/>
              </w:rPr>
              <w:t>, -</w:t>
            </w:r>
            <w:hyperlink r:id="rId36" w:history="1">
              <w:r w:rsidR="00CA2116">
                <w:rPr>
                  <w:rFonts w:ascii="Times New Roman" w:hAnsi="Times New Roman" w:cs="Times New Roman"/>
                  <w:color w:val="0000FF"/>
                  <w:sz w:val="18"/>
                  <w:szCs w:val="18"/>
                </w:rPr>
                <w:t>.38</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7" w:name="co_footnote_F88101952054_1"/>
      <w:bookmarkEnd w:id="35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"#co_footnoteReference_F88101952054_ID0EME"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w:t>
            </w:r>
            <w:hyperlink r:id="rId37" w:history="1">
              <w:r>
                <w:rPr>
                  <w:rFonts w:ascii="Times New Roman" w:hAnsi="Times New Roman" w:cs="Times New Roman"/>
                  <w:color w:val="0000FF"/>
                  <w:sz w:val="18"/>
                  <w:szCs w:val="18"/>
                </w:rPr>
                <w:t>21 C.F.R. § 170.35</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8" w:name="co_footnote_F89101952054_1"/>
      <w:bookmarkEnd w:id="35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"#co_footnoteReference_F89101952054_ID0E1F"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89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38" w:anchor="co_pp_fcf30000ea9c4" w:history="1">
              <w:r w:rsidR="00CA2116">
                <w:rPr>
                  <w:rFonts w:ascii="Times New Roman" w:hAnsi="Times New Roman" w:cs="Times New Roman"/>
                  <w:color w:val="0000FF"/>
                  <w:sz w:val="18"/>
                  <w:szCs w:val="18"/>
                </w:rPr>
                <w:t>Id. § 170.35(c</w:t>
              </w:r>
              <w:proofErr w:type="gramStart"/>
              <w:r w:rsidR="00CA2116">
                <w:rPr>
                  <w:rFonts w:ascii="Times New Roman" w:hAnsi="Times New Roman" w:cs="Times New Roman"/>
                  <w:color w:val="0000FF"/>
                  <w:sz w:val="18"/>
                  <w:szCs w:val="18"/>
                </w:rPr>
                <w:t>)(</w:t>
              </w:r>
              <w:proofErr w:type="gramEnd"/>
              <w:r w:rsidR="00CA2116">
                <w:rPr>
                  <w:rFonts w:ascii="Times New Roman" w:hAnsi="Times New Roman" w:cs="Times New Roman"/>
                  <w:color w:val="0000FF"/>
                  <w:sz w:val="18"/>
                  <w:szCs w:val="18"/>
                </w:rPr>
                <w:t>2)</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59" w:name="co_footnote_F90101952054_1"/>
      <w:bookmarkEnd w:id="35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"#co_footnoteReference_F90101952054_ID0EDJ"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supra text accompanying note 14.</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0" w:name="co_footnote_F91101952054_1"/>
      <w:bookmarkEnd w:id="36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"#co_footnoteReference_F91101952054_ID0ESJ"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39" w:history="1">
              <w:r w:rsidR="00CA2116">
                <w:rPr>
                  <w:rFonts w:ascii="Times New Roman" w:hAnsi="Times New Roman" w:cs="Times New Roman"/>
                  <w:color w:val="0000FF"/>
                  <w:sz w:val="18"/>
                  <w:szCs w:val="18"/>
                </w:rPr>
                <w:t>Merritt Corp. v. Folsom, 165 F.Supp. 418 (D.D.C.1958)</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1" w:name="co_footnote_F92101952054_1"/>
      <w:bookmarkEnd w:id="36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"#co_footnoteReference_F92101952054_ID0EMK"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40" w:history="1">
              <w:r w:rsidR="00CA2116">
                <w:rPr>
                  <w:rFonts w:ascii="Times New Roman" w:hAnsi="Times New Roman" w:cs="Times New Roman"/>
                  <w:color w:val="0000FF"/>
                  <w:sz w:val="18"/>
                  <w:szCs w:val="18"/>
                </w:rPr>
                <w:t>Id. at 421.</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2" w:name="co_footnote_F93101952054_1"/>
      <w:bookmarkEnd w:id="36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"#co_footnoteReference_F93101952054_ID0ETK"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41" w:history="1">
              <w:r w:rsidR="00CA2116">
                <w:rPr>
                  <w:rFonts w:ascii="Times New Roman" w:hAnsi="Times New Roman" w:cs="Times New Roman"/>
                  <w:color w:val="0000FF"/>
                  <w:sz w:val="18"/>
                  <w:szCs w:val="18"/>
                </w:rPr>
                <w:t>United States v. Trim Reducing Aid Cigarettes, 178 F.Supp. 847 (D.N.J.1959)</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3" w:name="co_footnote_F94101952054_1"/>
      <w:bookmarkEnd w:id="36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"#co_footnoteReference_F94101952054_ID0ECL"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42" w:history="1">
              <w:r w:rsidR="00CA2116">
                <w:rPr>
                  <w:rFonts w:ascii="Times New Roman" w:hAnsi="Times New Roman" w:cs="Times New Roman"/>
                  <w:color w:val="0000FF"/>
                  <w:sz w:val="18"/>
                  <w:szCs w:val="18"/>
                </w:rPr>
                <w:t>United States v. Articles of Food and Drug ... Coli-trol 80, 372 F.Supp. 915 (N.D.Ga.1974)</w:t>
              </w:r>
            </w:hyperlink>
            <w:r w:rsidR="00CA2116">
              <w:rPr>
                <w:rFonts w:ascii="Times New Roman" w:hAnsi="Times New Roman" w:cs="Times New Roman"/>
                <w:color w:val="000000"/>
                <w:sz w:val="18"/>
                <w:szCs w:val="18"/>
              </w:rPr>
              <w:t xml:space="preserve">, aff’d, </w:t>
            </w:r>
            <w:hyperlink r:id="rId43" w:history="1">
              <w:r w:rsidR="00CA2116">
                <w:rPr>
                  <w:rFonts w:ascii="Times New Roman" w:hAnsi="Times New Roman" w:cs="Times New Roman"/>
                  <w:color w:val="0000FF"/>
                  <w:sz w:val="18"/>
                  <w:szCs w:val="18"/>
                </w:rPr>
                <w:t>518 F.2d 743 (5th Cir.1975)</w:t>
              </w:r>
            </w:hyperlink>
            <w:r w:rsidR="00CA2116">
              <w:rPr>
                <w:rFonts w:ascii="Times New Roman" w:hAnsi="Times New Roman" w:cs="Times New Roman"/>
                <w:color w:val="000000"/>
                <w:sz w:val="18"/>
                <w:szCs w:val="18"/>
              </w:rPr>
              <w:t xml:space="preserve">; </w:t>
            </w:r>
            <w:hyperlink r:id="rId44" w:history="1">
              <w:r w:rsidR="00CA2116">
                <w:rPr>
                  <w:rFonts w:ascii="Times New Roman" w:hAnsi="Times New Roman" w:cs="Times New Roman"/>
                  <w:color w:val="0000FF"/>
                  <w:sz w:val="18"/>
                  <w:szCs w:val="18"/>
                </w:rPr>
                <w:t>United States v. an Article of Drug ... “Entrol-C Medicated,” 513 F.2d 1127 (9th Cir.1975)</w:t>
              </w:r>
            </w:hyperlink>
            <w:r w:rsidR="00CA2116">
              <w:rPr>
                <w:rFonts w:ascii="Times New Roman" w:hAnsi="Times New Roman" w:cs="Times New Roman"/>
                <w:color w:val="000000"/>
                <w:sz w:val="18"/>
                <w:szCs w:val="18"/>
              </w:rPr>
              <w:t xml:space="preserve">; </w:t>
            </w:r>
            <w:hyperlink r:id="rId45" w:history="1">
              <w:r w:rsidR="00CA2116">
                <w:rPr>
                  <w:rFonts w:ascii="Times New Roman" w:hAnsi="Times New Roman" w:cs="Times New Roman"/>
                  <w:color w:val="0000FF"/>
                  <w:sz w:val="18"/>
                  <w:szCs w:val="18"/>
                </w:rPr>
                <w:t>United States v. 1,048,000 Capsules, More or Less ... “Afrodex,” 494 F.2d 1158 (5th Cir.1974)</w:t>
              </w:r>
            </w:hyperlink>
            <w:r w:rsidR="00CA2116">
              <w:rPr>
                <w:rFonts w:ascii="Times New Roman" w:hAnsi="Times New Roman" w:cs="Times New Roman"/>
                <w:color w:val="000000"/>
                <w:sz w:val="18"/>
                <w:szCs w:val="18"/>
              </w:rPr>
              <w:t xml:space="preserve">; </w:t>
            </w:r>
            <w:hyperlink r:id="rId46" w:history="1">
              <w:r w:rsidR="00CA2116">
                <w:rPr>
                  <w:rFonts w:ascii="Times New Roman" w:hAnsi="Times New Roman" w:cs="Times New Roman"/>
                  <w:color w:val="0000FF"/>
                  <w:sz w:val="18"/>
                  <w:szCs w:val="18"/>
                </w:rPr>
                <w:t>United States v. An Article of Drug ... “Bentex Ulcerine,” 469 F.2d 875 (5th Cir.1972)</w:t>
              </w:r>
            </w:hyperlink>
            <w:r w:rsidR="00CA2116">
              <w:rPr>
                <w:rFonts w:ascii="Times New Roman" w:hAnsi="Times New Roman" w:cs="Times New Roman"/>
                <w:color w:val="000000"/>
                <w:sz w:val="18"/>
                <w:szCs w:val="18"/>
              </w:rPr>
              <w:t xml:space="preserve">, cert. denied, </w:t>
            </w:r>
            <w:hyperlink r:id="rId47" w:history="1">
              <w:r w:rsidR="00CA2116">
                <w:rPr>
                  <w:rFonts w:ascii="Times New Roman" w:hAnsi="Times New Roman" w:cs="Times New Roman"/>
                  <w:color w:val="0000FF"/>
                  <w:sz w:val="18"/>
                  <w:szCs w:val="18"/>
                </w:rPr>
                <w:t>412 U.S. 938 (1973)</w:t>
              </w:r>
            </w:hyperlink>
            <w:r w:rsidR="00CA2116">
              <w:rPr>
                <w:rFonts w:ascii="Times New Roman" w:hAnsi="Times New Roman" w:cs="Times New Roman"/>
                <w:color w:val="000000"/>
                <w:sz w:val="18"/>
                <w:szCs w:val="18"/>
              </w:rPr>
              <w:t xml:space="preserve">; </w:t>
            </w:r>
            <w:hyperlink r:id="rId48" w:history="1">
              <w:r w:rsidR="00CA2116">
                <w:rPr>
                  <w:rFonts w:ascii="Times New Roman" w:hAnsi="Times New Roman" w:cs="Times New Roman"/>
                  <w:color w:val="0000FF"/>
                  <w:sz w:val="18"/>
                  <w:szCs w:val="18"/>
                </w:rPr>
                <w:t>United States v. Kaybel, Inc., 430 F.2d 1346 (3rd Cir.1970)</w:t>
              </w:r>
            </w:hyperlink>
            <w:r w:rsidR="00CA2116">
              <w:rPr>
                <w:rFonts w:ascii="Times New Roman" w:hAnsi="Times New Roman" w:cs="Times New Roman"/>
                <w:color w:val="000000"/>
                <w:sz w:val="18"/>
                <w:szCs w:val="18"/>
              </w:rPr>
              <w:t xml:space="preserve">; </w:t>
            </w:r>
            <w:hyperlink r:id="rId49" w:history="1">
              <w:r w:rsidR="00CA2116">
                <w:rPr>
                  <w:rFonts w:ascii="Times New Roman" w:hAnsi="Times New Roman" w:cs="Times New Roman"/>
                  <w:color w:val="0000FF"/>
                  <w:sz w:val="18"/>
                  <w:szCs w:val="18"/>
                </w:rPr>
                <w:t>United States v. 7 Cartons, More or Less, ... “Ferro-Lac ...,” 293 F.Supp. 660 (S.D.Ill.1968)</w:t>
              </w:r>
            </w:hyperlink>
            <w:r w:rsidR="00CA2116">
              <w:rPr>
                <w:rFonts w:ascii="Times New Roman" w:hAnsi="Times New Roman" w:cs="Times New Roman"/>
                <w:color w:val="000000"/>
                <w:sz w:val="18"/>
                <w:szCs w:val="18"/>
              </w:rPr>
              <w:t xml:space="preserve">, aff’d, </w:t>
            </w:r>
            <w:hyperlink r:id="rId50" w:history="1">
              <w:r w:rsidR="00CA2116">
                <w:rPr>
                  <w:rFonts w:ascii="Times New Roman" w:hAnsi="Times New Roman" w:cs="Times New Roman"/>
                  <w:color w:val="0000FF"/>
                  <w:sz w:val="18"/>
                  <w:szCs w:val="18"/>
                </w:rPr>
                <w:t>424 F.2d 1364 (7th Cir.1970)</w:t>
              </w:r>
            </w:hyperlink>
            <w:r w:rsidR="00CA2116">
              <w:rPr>
                <w:rFonts w:ascii="Times New Roman" w:hAnsi="Times New Roman" w:cs="Times New Roman"/>
                <w:color w:val="000000"/>
                <w:sz w:val="18"/>
                <w:szCs w:val="18"/>
              </w:rPr>
              <w:t xml:space="preserve">; United States v. 41 Cases, More or Less, 421 F.2d 1126 (5th Cir.1970); </w:t>
            </w:r>
            <w:hyperlink r:id="rId51" w:history="1">
              <w:r w:rsidR="00CA2116">
                <w:rPr>
                  <w:rFonts w:ascii="Times New Roman" w:hAnsi="Times New Roman" w:cs="Times New Roman"/>
                  <w:color w:val="0000FF"/>
                  <w:sz w:val="18"/>
                  <w:szCs w:val="18"/>
                </w:rPr>
                <w:t>United States v. An Article of Drug ... “Furestrol ...,” 415 F.2d 390 (5th Cir.1969)</w:t>
              </w:r>
            </w:hyperlink>
            <w:r w:rsidR="00CA2116">
              <w:rPr>
                <w:rFonts w:ascii="Times New Roman" w:hAnsi="Times New Roman" w:cs="Times New Roman"/>
                <w:color w:val="000000"/>
                <w:sz w:val="18"/>
                <w:szCs w:val="18"/>
              </w:rPr>
              <w:t xml:space="preserve">; </w:t>
            </w:r>
            <w:hyperlink r:id="rId52" w:history="1">
              <w:r w:rsidR="00CA2116">
                <w:rPr>
                  <w:rFonts w:ascii="Times New Roman" w:hAnsi="Times New Roman" w:cs="Times New Roman"/>
                  <w:color w:val="0000FF"/>
                  <w:sz w:val="18"/>
                  <w:szCs w:val="18"/>
                </w:rPr>
                <w:t>United States v. Guardian Chem. Corp., 410 F.2d 157 (2d Cir.1979)</w:t>
              </w:r>
            </w:hyperlink>
            <w:r w:rsidR="00CA2116">
              <w:rPr>
                <w:rFonts w:ascii="Times New Roman" w:hAnsi="Times New Roman" w:cs="Times New Roman"/>
                <w:color w:val="000000"/>
                <w:sz w:val="18"/>
                <w:szCs w:val="18"/>
              </w:rPr>
              <w:t xml:space="preserve">; </w:t>
            </w:r>
            <w:hyperlink r:id="rId53" w:history="1">
              <w:r w:rsidR="00CA2116">
                <w:rPr>
                  <w:rFonts w:ascii="Times New Roman" w:hAnsi="Times New Roman" w:cs="Times New Roman"/>
                  <w:color w:val="0000FF"/>
                  <w:sz w:val="18"/>
                  <w:szCs w:val="18"/>
                </w:rPr>
                <w:t>United States v. an Article ... Sudden Change, 409 F.2d 734 (2d Cir.1979)</w:t>
              </w:r>
            </w:hyperlink>
            <w:r w:rsidR="00CA2116">
              <w:rPr>
                <w:rFonts w:ascii="Times New Roman" w:hAnsi="Times New Roman" w:cs="Times New Roman"/>
                <w:color w:val="000000"/>
                <w:sz w:val="18"/>
                <w:szCs w:val="18"/>
              </w:rPr>
              <w:t xml:space="preserve">; Tyler Pharmaceutical Distribs., Inc. v. United States, 406 F.2d 95 (7th Cir.1969); </w:t>
            </w:r>
            <w:hyperlink r:id="rId54" w:history="1">
              <w:r w:rsidR="00CA2116">
                <w:rPr>
                  <w:rFonts w:ascii="Times New Roman" w:hAnsi="Times New Roman" w:cs="Times New Roman"/>
                  <w:color w:val="0000FF"/>
                  <w:sz w:val="18"/>
                  <w:szCs w:val="18"/>
                </w:rPr>
                <w:t>United States v. Articles of Food and Drug, 444 F.Supp. 266 (E.D.Wisc.1978)</w:t>
              </w:r>
            </w:hyperlink>
            <w:r w:rsidR="00CA2116">
              <w:rPr>
                <w:rFonts w:ascii="Times New Roman" w:hAnsi="Times New Roman" w:cs="Times New Roman"/>
                <w:color w:val="000000"/>
                <w:sz w:val="18"/>
                <w:szCs w:val="18"/>
              </w:rPr>
              <w:t xml:space="preserve">; </w:t>
            </w:r>
            <w:hyperlink r:id="rId55" w:history="1">
              <w:r w:rsidR="00CA2116">
                <w:rPr>
                  <w:rFonts w:ascii="Times New Roman" w:hAnsi="Times New Roman" w:cs="Times New Roman"/>
                  <w:color w:val="0000FF"/>
                  <w:sz w:val="18"/>
                  <w:szCs w:val="18"/>
                </w:rPr>
                <w:t>United States v. Articles of Drug ... Colchicine, 442 F.Supp. 1236 (S.D.N.Y.1978)</w:t>
              </w:r>
            </w:hyperlink>
            <w:r w:rsidR="00CA2116">
              <w:rPr>
                <w:rFonts w:ascii="Times New Roman" w:hAnsi="Times New Roman" w:cs="Times New Roman"/>
                <w:color w:val="000000"/>
                <w:sz w:val="18"/>
                <w:szCs w:val="18"/>
              </w:rPr>
              <w:t xml:space="preserve">; United States v. Article of Drug ... “Pet-Tabs-Gee,” </w:t>
            </w:r>
            <w:hyperlink r:id="rId56" w:history="1">
              <w:r w:rsidR="00CA2116">
                <w:rPr>
                  <w:rFonts w:ascii="Times New Roman" w:hAnsi="Times New Roman" w:cs="Times New Roman"/>
                  <w:color w:val="0000FF"/>
                  <w:sz w:val="18"/>
                  <w:szCs w:val="18"/>
                </w:rPr>
                <w:t>428 F.Supp. 278 (E.D.Tenn.1976)</w:t>
              </w:r>
            </w:hyperlink>
            <w:r w:rsidR="00CA2116">
              <w:rPr>
                <w:rFonts w:ascii="Times New Roman" w:hAnsi="Times New Roman" w:cs="Times New Roman"/>
                <w:color w:val="000000"/>
                <w:sz w:val="18"/>
                <w:szCs w:val="18"/>
              </w:rPr>
              <w:t xml:space="preserve">; </w:t>
            </w:r>
            <w:hyperlink r:id="rId57" w:history="1">
              <w:r w:rsidR="00CA2116">
                <w:rPr>
                  <w:rFonts w:ascii="Times New Roman" w:hAnsi="Times New Roman" w:cs="Times New Roman"/>
                  <w:color w:val="0000FF"/>
                  <w:sz w:val="18"/>
                  <w:szCs w:val="18"/>
                </w:rPr>
                <w:t>United States, v. Marcen Laboratories, Inc., 416 F.Supp. 453 (S.D.N.Y.)</w:t>
              </w:r>
            </w:hyperlink>
            <w:r w:rsidR="00CA2116">
              <w:rPr>
                <w:rFonts w:ascii="Times New Roman" w:hAnsi="Times New Roman" w:cs="Times New Roman"/>
                <w:color w:val="000000"/>
                <w:sz w:val="18"/>
                <w:szCs w:val="18"/>
              </w:rPr>
              <w:t xml:space="preserve">, aff’d per curiam, </w:t>
            </w:r>
            <w:hyperlink r:id="rId58" w:history="1">
              <w:r w:rsidR="00CA2116">
                <w:rPr>
                  <w:rFonts w:ascii="Times New Roman" w:hAnsi="Times New Roman" w:cs="Times New Roman"/>
                  <w:color w:val="0000FF"/>
                  <w:sz w:val="18"/>
                  <w:szCs w:val="18"/>
                </w:rPr>
                <w:t>556 F.2d 562 (2d Cir.1976)</w:t>
              </w:r>
            </w:hyperlink>
            <w:r w:rsidR="00CA2116">
              <w:rPr>
                <w:rFonts w:ascii="Times New Roman" w:hAnsi="Times New Roman" w:cs="Times New Roman"/>
                <w:color w:val="000000"/>
                <w:sz w:val="18"/>
                <w:szCs w:val="18"/>
              </w:rPr>
              <w:t xml:space="preserve">; </w:t>
            </w:r>
            <w:hyperlink r:id="rId59" w:history="1">
              <w:r w:rsidR="00CA2116">
                <w:rPr>
                  <w:rFonts w:ascii="Times New Roman" w:hAnsi="Times New Roman" w:cs="Times New Roman"/>
                  <w:color w:val="0000FF"/>
                  <w:sz w:val="18"/>
                  <w:szCs w:val="18"/>
                </w:rPr>
                <w:t>United States, v. Article of Drug—OVA II, 414 F.Supp. 660 (D.N.J.1975)</w:t>
              </w:r>
            </w:hyperlink>
            <w:r w:rsidR="00CA2116">
              <w:rPr>
                <w:rFonts w:ascii="Times New Roman" w:hAnsi="Times New Roman" w:cs="Times New Roman"/>
                <w:color w:val="000000"/>
                <w:sz w:val="18"/>
                <w:szCs w:val="18"/>
              </w:rPr>
              <w:t xml:space="preserve">, aff’d, (3d Cir.1976); </w:t>
            </w:r>
            <w:hyperlink r:id="rId60" w:history="1">
              <w:r w:rsidR="00CA2116">
                <w:rPr>
                  <w:rFonts w:ascii="Times New Roman" w:hAnsi="Times New Roman" w:cs="Times New Roman"/>
                  <w:color w:val="0000FF"/>
                  <w:sz w:val="18"/>
                  <w:szCs w:val="18"/>
                </w:rPr>
                <w:t>United States v. 14 Cases ... Naremco Medi-Matic, 374 F.Supp. 922 (W.D.Mo.1974)</w:t>
              </w:r>
            </w:hyperlink>
            <w:r w:rsidR="00CA2116">
              <w:rPr>
                <w:rFonts w:ascii="Times New Roman" w:hAnsi="Times New Roman" w:cs="Times New Roman"/>
                <w:color w:val="000000"/>
                <w:sz w:val="18"/>
                <w:szCs w:val="18"/>
              </w:rPr>
              <w:t xml:space="preserve">; </w:t>
            </w:r>
            <w:hyperlink r:id="rId61" w:history="1">
              <w:r w:rsidR="00CA2116">
                <w:rPr>
                  <w:rFonts w:ascii="Times New Roman" w:hAnsi="Times New Roman" w:cs="Times New Roman"/>
                  <w:color w:val="0000FF"/>
                  <w:sz w:val="18"/>
                  <w:szCs w:val="18"/>
                </w:rPr>
                <w:t>United States v. Yaron Laboratories, Inc., 365 F.Supp. 917 (N.D.Ill.1972)</w:t>
              </w:r>
            </w:hyperlink>
            <w:r w:rsidR="00CA2116">
              <w:rPr>
                <w:rFonts w:ascii="Times New Roman" w:hAnsi="Times New Roman" w:cs="Times New Roman"/>
                <w:color w:val="000000"/>
                <w:sz w:val="18"/>
                <w:szCs w:val="18"/>
              </w:rPr>
              <w:t xml:space="preserve">; </w:t>
            </w:r>
            <w:hyperlink r:id="rId62" w:history="1">
              <w:r w:rsidR="00CA2116">
                <w:rPr>
                  <w:rFonts w:ascii="Times New Roman" w:hAnsi="Times New Roman" w:cs="Times New Roman"/>
                  <w:color w:val="0000FF"/>
                  <w:sz w:val="18"/>
                  <w:szCs w:val="18"/>
                </w:rPr>
                <w:t>United States v. “Mykocert,” 345 F.Supp. 571 (N.D.Ill.1972)</w:t>
              </w:r>
            </w:hyperlink>
            <w:r w:rsidR="00CA2116">
              <w:rPr>
                <w:rFonts w:ascii="Times New Roman" w:hAnsi="Times New Roman" w:cs="Times New Roman"/>
                <w:color w:val="000000"/>
                <w:sz w:val="18"/>
                <w:szCs w:val="18"/>
              </w:rPr>
              <w:t xml:space="preserve">; </w:t>
            </w:r>
            <w:hyperlink r:id="rId63" w:history="1">
              <w:r w:rsidR="00CA2116">
                <w:rPr>
                  <w:rFonts w:ascii="Times New Roman" w:hAnsi="Times New Roman" w:cs="Times New Roman"/>
                  <w:color w:val="0000FF"/>
                  <w:sz w:val="18"/>
                  <w:szCs w:val="18"/>
                </w:rPr>
                <w:t>United States v. Articles of Drug ... Quick-O-Ver, 274 F.Supp. 443 (D.Md.1967)</w:t>
              </w:r>
            </w:hyperlink>
            <w:r w:rsidR="00CA2116">
              <w:rPr>
                <w:rFonts w:ascii="Times New Roman" w:hAnsi="Times New Roman" w:cs="Times New Roman"/>
                <w:color w:val="000000"/>
                <w:sz w:val="18"/>
                <w:szCs w:val="18"/>
              </w:rPr>
              <w:t>; United States v. Article of Drug ... Quinaglute, 368 F.Supp. 245 (E.D.Mo.1967).</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4" w:name="co_footnote_F95101952054_1"/>
      <w:bookmarkEnd w:id="36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"#co_footnoteReference_F95101952054_ID0ELL"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A “new drug” and a “new animal drug” are each defined in terms of whether the safety and effectiveness of their intended uses are “generally recognized” by qualified experts. Therefore, discussions interpreting the criteria for the GRAS status of a drug or animal drug, arguably apply to food additives as well. See, e.g., </w:t>
            </w:r>
            <w:hyperlink r:id="rId64" w:history="1">
              <w:r>
                <w:rPr>
                  <w:rFonts w:ascii="Times New Roman" w:hAnsi="Times New Roman" w:cs="Times New Roman"/>
                  <w:color w:val="0000FF"/>
                  <w:sz w:val="18"/>
                  <w:szCs w:val="18"/>
                </w:rPr>
                <w:t>United States v. Coli-Trol, 372 F.Supp. 915 (N.D.Ga.1974)</w:t>
              </w:r>
            </w:hyperlink>
            <w:r>
              <w:rPr>
                <w:rFonts w:ascii="Times New Roman" w:hAnsi="Times New Roman" w:cs="Times New Roman"/>
                <w:color w:val="000000"/>
                <w:sz w:val="18"/>
                <w:szCs w:val="18"/>
              </w:rPr>
              <w:t xml:space="preserve">, aff’d, </w:t>
            </w:r>
            <w:hyperlink r:id="rId65" w:history="1">
              <w:r>
                <w:rPr>
                  <w:rFonts w:ascii="Times New Roman" w:hAnsi="Times New Roman" w:cs="Times New Roman"/>
                  <w:color w:val="0000FF"/>
                  <w:sz w:val="18"/>
                  <w:szCs w:val="18"/>
                </w:rPr>
                <w:t>518 F.2d 743 (5th Cir.1975)</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5" w:name="co_footnote_F96101952054_1"/>
      <w:bookmarkEnd w:id="36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"#co_footnoteReference_F96101952054_ID0E1L"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e.g., </w:t>
            </w:r>
            <w:hyperlink r:id="rId66" w:anchor="co_pp_sp_345_1311" w:history="1">
              <w:r>
                <w:rPr>
                  <w:rFonts w:ascii="Times New Roman" w:hAnsi="Times New Roman" w:cs="Times New Roman"/>
                  <w:color w:val="0000FF"/>
                  <w:sz w:val="18"/>
                  <w:szCs w:val="18"/>
                </w:rPr>
                <w:t>United States v. An Article of Drug ... Furrestrol, 294 F.Supp. 1307, 1311 (N.D.Ga.1968)</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6" w:name="co_footnote_F97101952054_1"/>
      <w:bookmarkEnd w:id="36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"#co_footnoteReference_F97101952054_ID0EOM"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e.g., </w:t>
            </w:r>
            <w:hyperlink r:id="rId67" w:anchor="co_pp_sp_345_920" w:history="1">
              <w:r>
                <w:rPr>
                  <w:rFonts w:ascii="Times New Roman" w:hAnsi="Times New Roman" w:cs="Times New Roman"/>
                  <w:color w:val="0000FF"/>
                  <w:sz w:val="18"/>
                  <w:szCs w:val="18"/>
                </w:rPr>
                <w:t>United States v. Coli-Trol, 372 F.Supp at 920.</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7" w:name="co_footnote_F98101952054_1"/>
      <w:bookmarkEnd w:id="36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"#co_footnoteReference_F98101952054_ID0ESM"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e.g., </w:t>
            </w:r>
            <w:hyperlink r:id="rId68" w:anchor="co_pp_sp_345_1311" w:history="1">
              <w:r>
                <w:rPr>
                  <w:rFonts w:ascii="Times New Roman" w:hAnsi="Times New Roman" w:cs="Times New Roman"/>
                  <w:color w:val="0000FF"/>
                  <w:sz w:val="18"/>
                  <w:szCs w:val="18"/>
                </w:rPr>
                <w:t xml:space="preserve">United States v. An Article of Drug ... Furrestrol, 294 F.Supp. </w:t>
              </w:r>
              <w:proofErr w:type="gramStart"/>
              <w:r>
                <w:rPr>
                  <w:rFonts w:ascii="Times New Roman" w:hAnsi="Times New Roman" w:cs="Times New Roman"/>
                  <w:color w:val="0000FF"/>
                  <w:sz w:val="18"/>
                  <w:szCs w:val="18"/>
                </w:rPr>
                <w:t>at</w:t>
              </w:r>
              <w:proofErr w:type="gramEnd"/>
              <w:r>
                <w:rPr>
                  <w:rFonts w:ascii="Times New Roman" w:hAnsi="Times New Roman" w:cs="Times New Roman"/>
                  <w:color w:val="0000FF"/>
                  <w:sz w:val="18"/>
                  <w:szCs w:val="18"/>
                </w:rPr>
                <w:t xml:space="preserve"> 1311.</w:t>
              </w:r>
            </w:hyperlink>
            <w:r>
              <w:rPr>
                <w:rFonts w:ascii="Times New Roman" w:hAnsi="Times New Roman" w:cs="Times New Roman"/>
                <w:color w:val="000000"/>
                <w:sz w:val="18"/>
                <w:szCs w:val="18"/>
              </w:rPr>
              <w:t xml:space="preserve"> Numerous courts have held that even where some experts testify unequivocally that a product is generally recognized as safe, the product is nevertheless not GRAS if other qualified experts disagree and there is a genuine difference of opinion among experts regarding the product’s reputation. See, e.g., </w:t>
            </w:r>
            <w:hyperlink r:id="rId69" w:anchor="co_pp_sp_350_990" w:history="1">
              <w:r>
                <w:rPr>
                  <w:rFonts w:ascii="Times New Roman" w:hAnsi="Times New Roman" w:cs="Times New Roman"/>
                  <w:color w:val="0000FF"/>
                  <w:sz w:val="18"/>
                  <w:szCs w:val="18"/>
                </w:rPr>
                <w:t>United States v. an Article of Drug ... 4,680 Pails, 725 F.2d 976, 990 (5th Cir.1984)</w:t>
              </w:r>
            </w:hyperlink>
            <w:r>
              <w:rPr>
                <w:rFonts w:ascii="Times New Roman" w:hAnsi="Times New Roman" w:cs="Times New Roman"/>
                <w:color w:val="000000"/>
                <w:sz w:val="18"/>
                <w:szCs w:val="18"/>
              </w:rPr>
              <w:t xml:space="preserve">; </w:t>
            </w:r>
            <w:hyperlink r:id="rId70" w:anchor="co_pp_sp_350_1001" w:history="1">
              <w:r>
                <w:rPr>
                  <w:rFonts w:ascii="Times New Roman" w:hAnsi="Times New Roman" w:cs="Times New Roman"/>
                  <w:color w:val="0000FF"/>
                  <w:sz w:val="18"/>
                  <w:szCs w:val="18"/>
                </w:rPr>
                <w:t xml:space="preserve">United States v. ... Articles of Drug ... Equidantin, 675 </w:t>
              </w:r>
              <w:r>
                <w:rPr>
                  <w:rFonts w:ascii="Times New Roman" w:hAnsi="Times New Roman" w:cs="Times New Roman"/>
                  <w:color w:val="0000FF"/>
                  <w:sz w:val="18"/>
                  <w:szCs w:val="18"/>
                </w:rPr>
                <w:lastRenderedPageBreak/>
                <w:t>F.2d 994, 1001 (8th Cir.1982)</w:t>
              </w:r>
            </w:hyperlink>
            <w:r>
              <w:rPr>
                <w:rFonts w:ascii="Times New Roman" w:hAnsi="Times New Roman" w:cs="Times New Roman"/>
                <w:color w:val="000000"/>
                <w:sz w:val="18"/>
                <w:szCs w:val="18"/>
              </w:rPr>
              <w:t xml:space="preserve">, cert. denied sub nom, </w:t>
            </w:r>
            <w:hyperlink r:id="rId71" w:history="1">
              <w:r>
                <w:rPr>
                  <w:rFonts w:ascii="Times New Roman" w:hAnsi="Times New Roman" w:cs="Times New Roman"/>
                  <w:color w:val="0000FF"/>
                  <w:sz w:val="18"/>
                  <w:szCs w:val="18"/>
                </w:rPr>
                <w:t>Performance Prods. Inc. v. United States, 460 U.S. 1051 (1983)</w:t>
              </w:r>
            </w:hyperlink>
            <w:r>
              <w:rPr>
                <w:rFonts w:ascii="Times New Roman" w:hAnsi="Times New Roman" w:cs="Times New Roman"/>
                <w:color w:val="000000"/>
                <w:sz w:val="18"/>
                <w:szCs w:val="18"/>
              </w:rPr>
              <w:t xml:space="preserve">; </w:t>
            </w:r>
            <w:hyperlink r:id="rId72" w:anchor="co_pp_sp_345_431" w:history="1">
              <w:r>
                <w:rPr>
                  <w:rFonts w:ascii="Times New Roman" w:hAnsi="Times New Roman" w:cs="Times New Roman"/>
                  <w:color w:val="0000FF"/>
                  <w:sz w:val="18"/>
                  <w:szCs w:val="18"/>
                </w:rPr>
                <w:t>United States v. Articles of Drug ... Hormonin, 498 F.Supp. 424, 431 (D.N.J.1980)</w:t>
              </w:r>
            </w:hyperlink>
            <w:r>
              <w:rPr>
                <w:rFonts w:ascii="Times New Roman" w:hAnsi="Times New Roman" w:cs="Times New Roman"/>
                <w:color w:val="000000"/>
                <w:sz w:val="18"/>
                <w:szCs w:val="18"/>
              </w:rPr>
              <w:t xml:space="preserve">, aff’d mem., </w:t>
            </w:r>
            <w:hyperlink r:id="rId73" w:history="1">
              <w:r>
                <w:rPr>
                  <w:rFonts w:ascii="Times New Roman" w:hAnsi="Times New Roman" w:cs="Times New Roman"/>
                  <w:color w:val="0000FF"/>
                  <w:sz w:val="18"/>
                  <w:szCs w:val="18"/>
                </w:rPr>
                <w:t>672 F.2d 904 (3d Cir.1981)</w:t>
              </w:r>
            </w:hyperlink>
            <w:r>
              <w:rPr>
                <w:rFonts w:ascii="Times New Roman" w:hAnsi="Times New Roman" w:cs="Times New Roman"/>
                <w:color w:val="000000"/>
                <w:sz w:val="18"/>
                <w:szCs w:val="18"/>
              </w:rPr>
              <w:t xml:space="preserve">; </w:t>
            </w:r>
            <w:hyperlink r:id="rId74" w:anchor="co_pp_sp_345_110" w:history="1">
              <w:r>
                <w:rPr>
                  <w:rFonts w:ascii="Times New Roman" w:hAnsi="Times New Roman" w:cs="Times New Roman"/>
                  <w:color w:val="0000FF"/>
                  <w:sz w:val="18"/>
                  <w:szCs w:val="18"/>
                </w:rPr>
                <w:t>United States v. An Article of Drug ... X-Otag Plus Tablets, 441 F.Supp. 105, 110-14 (D.Colo.1977)</w:t>
              </w:r>
            </w:hyperlink>
            <w:r>
              <w:rPr>
                <w:rFonts w:ascii="Times New Roman" w:hAnsi="Times New Roman" w:cs="Times New Roman"/>
                <w:color w:val="000000"/>
                <w:sz w:val="18"/>
                <w:szCs w:val="18"/>
              </w:rPr>
              <w:t xml:space="preserve">, aff’d, </w:t>
            </w:r>
            <w:hyperlink r:id="rId75" w:history="1">
              <w:r>
                <w:rPr>
                  <w:rFonts w:ascii="Times New Roman" w:hAnsi="Times New Roman" w:cs="Times New Roman"/>
                  <w:color w:val="0000FF"/>
                  <w:sz w:val="18"/>
                  <w:szCs w:val="18"/>
                </w:rPr>
                <w:t>602 F.2d 1387 (10th Cir.1979)</w:t>
              </w:r>
            </w:hyperlink>
            <w:r>
              <w:rPr>
                <w:rFonts w:ascii="Times New Roman" w:hAnsi="Times New Roman" w:cs="Times New Roman"/>
                <w:color w:val="000000"/>
                <w:sz w:val="18"/>
                <w:szCs w:val="18"/>
              </w:rPr>
              <w:t xml:space="preserve">. But see </w:t>
            </w:r>
            <w:hyperlink r:id="rId76" w:anchor="co_pp_sp_345_781" w:history="1">
              <w:r>
                <w:rPr>
                  <w:rFonts w:ascii="Times New Roman" w:hAnsi="Times New Roman" w:cs="Times New Roman"/>
                  <w:color w:val="0000FF"/>
                  <w:sz w:val="18"/>
                  <w:szCs w:val="18"/>
                </w:rPr>
                <w:t>United States v. Articles of Drug ... Promise Toothpaste, 624 F.Supp. 776, 781 (N.D.Ill.1985)</w:t>
              </w:r>
            </w:hyperlink>
            <w:r>
              <w:rPr>
                <w:rFonts w:ascii="Times New Roman" w:hAnsi="Times New Roman" w:cs="Times New Roman"/>
                <w:color w:val="000000"/>
                <w:sz w:val="18"/>
                <w:szCs w:val="18"/>
              </w:rPr>
              <w:t xml:space="preserve">, aff’d, </w:t>
            </w:r>
            <w:hyperlink r:id="rId77" w:history="1">
              <w:r>
                <w:rPr>
                  <w:rFonts w:ascii="Times New Roman" w:hAnsi="Times New Roman" w:cs="Times New Roman"/>
                  <w:color w:val="0000FF"/>
                  <w:sz w:val="18"/>
                  <w:szCs w:val="18"/>
                </w:rPr>
                <w:t>826 F.2d 564 (7th Cir.1988)</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8" w:name="co_footnote_F99101952054_1"/>
      <w:bookmarkEnd w:id="36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"#co_footnoteReference_F99101952054_ID0EBN"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99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w:t>
            </w:r>
            <w:hyperlink r:id="rId78" w:anchor="co_pp_sp_780_609" w:history="1">
              <w:r>
                <w:rPr>
                  <w:rFonts w:ascii="Times New Roman" w:hAnsi="Times New Roman" w:cs="Times New Roman"/>
                  <w:color w:val="0000FF"/>
                  <w:sz w:val="18"/>
                  <w:szCs w:val="18"/>
                </w:rPr>
                <w:t>Weinberger, 412 U.S. at 609.</w:t>
              </w:r>
            </w:hyperlink>
            <w:r>
              <w:rPr>
                <w:rFonts w:ascii="Times New Roman" w:hAnsi="Times New Roman" w:cs="Times New Roman"/>
                <w:color w:val="000000"/>
                <w:sz w:val="18"/>
                <w:szCs w:val="18"/>
              </w:rPr>
              <w:t xml:space="preserve"> See also </w:t>
            </w:r>
            <w:hyperlink r:id="rId79" w:anchor="co_pp_sp_780_652" w:history="1">
              <w:r>
                <w:rPr>
                  <w:rFonts w:ascii="Times New Roman" w:hAnsi="Times New Roman" w:cs="Times New Roman"/>
                  <w:color w:val="0000FF"/>
                  <w:sz w:val="18"/>
                  <w:szCs w:val="18"/>
                </w:rPr>
                <w:t>Weinberger v. Bentex Pharmaceuticals Inc., 412 U.S. 645, 652 (1973)</w:t>
              </w:r>
            </w:hyperlink>
            <w:r>
              <w:rPr>
                <w:rFonts w:ascii="Times New Roman" w:hAnsi="Times New Roman" w:cs="Times New Roman"/>
                <w:color w:val="000000"/>
                <w:sz w:val="18"/>
                <w:szCs w:val="18"/>
              </w:rPr>
              <w:t xml:space="preserve"> (“the reach of scientific inquiry under both § 505(d) and § 201(p) is precisely the same”). See Trim Reducing Aid Cigarettes, 178 F.Supp. </w:t>
            </w:r>
            <w:proofErr w:type="gramStart"/>
            <w:r>
              <w:rPr>
                <w:rFonts w:ascii="Times New Roman" w:hAnsi="Times New Roman" w:cs="Times New Roman"/>
                <w:color w:val="000000"/>
                <w:sz w:val="18"/>
                <w:szCs w:val="18"/>
              </w:rPr>
              <w:t>at</w:t>
            </w:r>
            <w:proofErr w:type="gramEnd"/>
            <w:r>
              <w:rPr>
                <w:rFonts w:ascii="Times New Roman" w:hAnsi="Times New Roman" w:cs="Times New Roman"/>
                <w:color w:val="000000"/>
                <w:sz w:val="18"/>
                <w:szCs w:val="18"/>
              </w:rPr>
              <w:t xml:space="preserve"> 921 (“[W]hat is required is more than belief by an expert; it is a general recognition based upon substantial scientific evidence....”).</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69" w:name="co_footnote_F100101952054_1"/>
      <w:bookmarkEnd w:id="36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"#co_footnoteReference_F100101952054_ID0EG"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80" w:anchor="co_pp_sp_350_880" w:history="1">
              <w:r w:rsidR="00CA2116">
                <w:rPr>
                  <w:rFonts w:ascii="Times New Roman" w:hAnsi="Times New Roman" w:cs="Times New Roman"/>
                  <w:color w:val="0000FF"/>
                  <w:sz w:val="18"/>
                  <w:szCs w:val="18"/>
                </w:rPr>
                <w:t>United States v. An Article of Drug ... Bentex Ulcerine, 469 F.2d 875, 880 (5th Cir.1972)</w:t>
              </w:r>
            </w:hyperlink>
            <w:r w:rsidR="00CA2116">
              <w:rPr>
                <w:rFonts w:ascii="Times New Roman" w:hAnsi="Times New Roman" w:cs="Times New Roman"/>
                <w:color w:val="000000"/>
                <w:sz w:val="18"/>
                <w:szCs w:val="18"/>
              </w:rPr>
              <w:t xml:space="preserve">, cert. denied, </w:t>
            </w:r>
            <w:hyperlink r:id="rId81" w:history="1">
              <w:r w:rsidR="00CA2116">
                <w:rPr>
                  <w:rFonts w:ascii="Times New Roman" w:hAnsi="Times New Roman" w:cs="Times New Roman"/>
                  <w:color w:val="0000FF"/>
                  <w:sz w:val="18"/>
                  <w:szCs w:val="18"/>
                </w:rPr>
                <w:t>412 U.S. 938 (1973)</w:t>
              </w:r>
            </w:hyperlink>
            <w:r w:rsidR="00CA2116">
              <w:rPr>
                <w:rFonts w:ascii="Times New Roman" w:hAnsi="Times New Roman" w:cs="Times New Roman"/>
                <w:color w:val="000000"/>
                <w:sz w:val="18"/>
                <w:szCs w:val="18"/>
              </w:rPr>
              <w:t xml:space="preserve"> (“Certainly it is not unreasonable that if a [product] ... is generally recognized ... one would find in medical literature over a period of years support for this premise from wide experimentation and study.”) See also Bentex, 412 F.2d at 652; </w:t>
            </w:r>
            <w:hyperlink r:id="rId82" w:anchor="co_pp_sp_345_1242" w:history="1">
              <w:r w:rsidR="00CA2116">
                <w:rPr>
                  <w:rFonts w:ascii="Times New Roman" w:hAnsi="Times New Roman" w:cs="Times New Roman"/>
                  <w:color w:val="0000FF"/>
                  <w:sz w:val="18"/>
                  <w:szCs w:val="18"/>
                </w:rPr>
                <w:t xml:space="preserve">Colchicine, 442 F.Supp. </w:t>
              </w:r>
              <w:proofErr w:type="gramStart"/>
              <w:r w:rsidR="00CA2116">
                <w:rPr>
                  <w:rFonts w:ascii="Times New Roman" w:hAnsi="Times New Roman" w:cs="Times New Roman"/>
                  <w:color w:val="0000FF"/>
                  <w:sz w:val="18"/>
                  <w:szCs w:val="18"/>
                </w:rPr>
                <w:t>at</w:t>
              </w:r>
              <w:proofErr w:type="gramEnd"/>
              <w:r w:rsidR="00CA2116">
                <w:rPr>
                  <w:rFonts w:ascii="Times New Roman" w:hAnsi="Times New Roman" w:cs="Times New Roman"/>
                  <w:color w:val="0000FF"/>
                  <w:sz w:val="18"/>
                  <w:szCs w:val="18"/>
                </w:rPr>
                <w:t xml:space="preserve"> 1242-43;</w:t>
              </w:r>
            </w:hyperlink>
            <w:r w:rsidR="00CA2116">
              <w:rPr>
                <w:rFonts w:ascii="Times New Roman" w:hAnsi="Times New Roman" w:cs="Times New Roman"/>
                <w:color w:val="000000"/>
                <w:sz w:val="18"/>
                <w:szCs w:val="18"/>
              </w:rPr>
              <w:t xml:space="preserve"> </w:t>
            </w:r>
            <w:hyperlink r:id="rId83" w:history="1">
              <w:r w:rsidR="00CA2116">
                <w:rPr>
                  <w:rFonts w:ascii="Times New Roman" w:hAnsi="Times New Roman" w:cs="Times New Roman"/>
                  <w:color w:val="0000FF"/>
                  <w:sz w:val="18"/>
                  <w:szCs w:val="18"/>
                </w:rPr>
                <w:t>United States v. Consolidated Midland Corp., 603 F.2d 215 (2d Cir.1979)</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0" w:name="co_footnote_F101101952054_1"/>
      <w:bookmarkEnd w:id="37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"#co_footnoteReference_F101101952054_ID0E1"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See </w:t>
            </w:r>
            <w:hyperlink r:id="rId84" w:anchor="co_pp_sp_345_574" w:history="1">
              <w:r>
                <w:rPr>
                  <w:rFonts w:ascii="Times New Roman" w:hAnsi="Times New Roman" w:cs="Times New Roman"/>
                  <w:color w:val="0000FF"/>
                  <w:sz w:val="18"/>
                  <w:szCs w:val="18"/>
                </w:rPr>
                <w:t xml:space="preserve">Mykocert, 345 F.Supp. </w:t>
              </w:r>
              <w:proofErr w:type="gramStart"/>
              <w:r>
                <w:rPr>
                  <w:rFonts w:ascii="Times New Roman" w:hAnsi="Times New Roman" w:cs="Times New Roman"/>
                  <w:color w:val="0000FF"/>
                  <w:sz w:val="18"/>
                  <w:szCs w:val="18"/>
                </w:rPr>
                <w:t>at</w:t>
              </w:r>
              <w:proofErr w:type="gramEnd"/>
              <w:r>
                <w:rPr>
                  <w:rFonts w:ascii="Times New Roman" w:hAnsi="Times New Roman" w:cs="Times New Roman"/>
                  <w:color w:val="0000FF"/>
                  <w:sz w:val="18"/>
                  <w:szCs w:val="18"/>
                </w:rPr>
                <w:t xml:space="preserve"> 574.</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1" w:name="co_footnote_F102101952054_1"/>
      <w:bookmarkEnd w:id="37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"#co_footnoteReference_F102101952054_ID0EO"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85" w:anchor="co_pp_sp_350_773" w:history="1">
              <w:r w:rsidR="00CA2116">
                <w:rPr>
                  <w:rFonts w:ascii="Times New Roman" w:hAnsi="Times New Roman" w:cs="Times New Roman"/>
                  <w:color w:val="0000FF"/>
                  <w:sz w:val="18"/>
                  <w:szCs w:val="18"/>
                </w:rPr>
                <w:t>United States v. An Article of Food ... 345/50 Pound Bags, Gentian Violet, 622 F.2d 768, 773 (5th Cir.1980)</w:t>
              </w:r>
            </w:hyperlink>
            <w:r w:rsidR="00CA2116">
              <w:rPr>
                <w:rFonts w:ascii="Times New Roman" w:hAnsi="Times New Roman" w:cs="Times New Roman"/>
                <w:color w:val="000000"/>
                <w:sz w:val="18"/>
                <w:szCs w:val="18"/>
              </w:rPr>
              <w:t xml:space="preserve">. See also </w:t>
            </w:r>
            <w:hyperlink r:id="rId86" w:anchor="co_pp_sp_345_783" w:history="1">
              <w:r w:rsidR="00CA2116">
                <w:rPr>
                  <w:rFonts w:ascii="Times New Roman" w:hAnsi="Times New Roman" w:cs="Times New Roman"/>
                  <w:color w:val="0000FF"/>
                  <w:sz w:val="18"/>
                  <w:szCs w:val="18"/>
                </w:rPr>
                <w:t xml:space="preserve">Promise, 624 F.Supp. </w:t>
              </w:r>
              <w:proofErr w:type="gramStart"/>
              <w:r w:rsidR="00CA2116">
                <w:rPr>
                  <w:rFonts w:ascii="Times New Roman" w:hAnsi="Times New Roman" w:cs="Times New Roman"/>
                  <w:color w:val="0000FF"/>
                  <w:sz w:val="18"/>
                  <w:szCs w:val="18"/>
                </w:rPr>
                <w:t>at</w:t>
              </w:r>
              <w:proofErr w:type="gramEnd"/>
              <w:r w:rsidR="00CA2116">
                <w:rPr>
                  <w:rFonts w:ascii="Times New Roman" w:hAnsi="Times New Roman" w:cs="Times New Roman"/>
                  <w:color w:val="0000FF"/>
                  <w:sz w:val="18"/>
                  <w:szCs w:val="18"/>
                </w:rPr>
                <w:t xml:space="preserve"> 783.</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2" w:name="co_footnote_F103101952054_1"/>
      <w:bookmarkEnd w:id="37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"#co_footnoteReference_F103101952054_ID0ES"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87" w:anchor="co_pp_sp_345_783" w:history="1">
              <w:r w:rsidR="00CA2116">
                <w:rPr>
                  <w:rFonts w:ascii="Times New Roman" w:hAnsi="Times New Roman" w:cs="Times New Roman"/>
                  <w:color w:val="0000FF"/>
                  <w:sz w:val="18"/>
                  <w:szCs w:val="18"/>
                </w:rPr>
                <w:t xml:space="preserve">Promise, 624 F.Supp. </w:t>
              </w:r>
              <w:proofErr w:type="gramStart"/>
              <w:r w:rsidR="00CA2116">
                <w:rPr>
                  <w:rFonts w:ascii="Times New Roman" w:hAnsi="Times New Roman" w:cs="Times New Roman"/>
                  <w:color w:val="0000FF"/>
                  <w:sz w:val="18"/>
                  <w:szCs w:val="18"/>
                </w:rPr>
                <w:t>at</w:t>
              </w:r>
              <w:proofErr w:type="gramEnd"/>
              <w:r w:rsidR="00CA2116">
                <w:rPr>
                  <w:rFonts w:ascii="Times New Roman" w:hAnsi="Times New Roman" w:cs="Times New Roman"/>
                  <w:color w:val="0000FF"/>
                  <w:sz w:val="18"/>
                  <w:szCs w:val="18"/>
                </w:rPr>
                <w:t xml:space="preserve"> 783.</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3" w:name="co_footnote_F104101952054_1"/>
      <w:bookmarkEnd w:id="37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"#co_footnoteReference_F104101952054_ID0ER"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88" w:anchor="co_pp_sp_780_632" w:history="1">
              <w:r w:rsidR="00CA2116">
                <w:rPr>
                  <w:rFonts w:ascii="Times New Roman" w:hAnsi="Times New Roman" w:cs="Times New Roman"/>
                  <w:color w:val="0000FF"/>
                  <w:sz w:val="18"/>
                  <w:szCs w:val="18"/>
                </w:rPr>
                <w:t>412 U.S. at 632.</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4" w:name="co_footnote_F105101952054_1"/>
      <w:bookmarkEnd w:id="37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"#co_footnoteReference_F105101952054_ID0EG"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The suggestion is not inconsistent with the decision in </w:t>
            </w:r>
            <w:hyperlink r:id="rId89" w:anchor="co_pp_sp_350_955" w:history="1">
              <w:r>
                <w:rPr>
                  <w:rFonts w:ascii="Times New Roman" w:hAnsi="Times New Roman" w:cs="Times New Roman"/>
                  <w:color w:val="0000FF"/>
                  <w:sz w:val="18"/>
                  <w:szCs w:val="18"/>
                </w:rPr>
                <w:t>Monsanto Company v. Kennedy, 613 F.2d 947, 955 (D.C.Cir.1979)</w:t>
              </w:r>
            </w:hyperlink>
            <w:r>
              <w:rPr>
                <w:rFonts w:ascii="Times New Roman" w:hAnsi="Times New Roman" w:cs="Times New Roman"/>
                <w:color w:val="000000"/>
                <w:sz w:val="18"/>
                <w:szCs w:val="18"/>
              </w:rPr>
              <w:t>, in which the court noted that trace amounts of migrating substances may actually be outside the definition of “food additive.” Nor is the suggestion inconsistent with the view expressed in Public Citizen v. Young, 831 F.2d 110, 119-20 (D.C.Cir.1987), that the GRAS exemption may encompass carcinogenic substances which, when used in food, pose merely a trivial risk of cancer.</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5" w:name="co_footnote_F106101952054_1"/>
      <w:bookmarkEnd w:id="37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"#co_footnoteReference_F106101952054_ID0EM"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0" w:history="1">
              <w:r w:rsidR="00CA2116">
                <w:rPr>
                  <w:rFonts w:ascii="Times New Roman" w:hAnsi="Times New Roman" w:cs="Times New Roman"/>
                  <w:color w:val="0000FF"/>
                  <w:sz w:val="18"/>
                  <w:szCs w:val="18"/>
                </w:rPr>
                <w:t>39 Fed.Reg. 34,195 (1974)</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6" w:name="co_footnote_F107101952054_1"/>
      <w:bookmarkEnd w:id="37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"#co_footnoteReference_F107101952054_ID0EX"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Now codified at </w:t>
            </w:r>
            <w:hyperlink r:id="rId91" w:history="1">
              <w:r>
                <w:rPr>
                  <w:rFonts w:ascii="Times New Roman" w:hAnsi="Times New Roman" w:cs="Times New Roman"/>
                  <w:color w:val="0000FF"/>
                  <w:sz w:val="18"/>
                  <w:szCs w:val="18"/>
                </w:rPr>
                <w:t>21 C.F.R. § 170.30</w:t>
              </w:r>
            </w:hyperlink>
            <w:r>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7" w:name="co_footnote_F108101952054_1"/>
      <w:bookmarkEnd w:id="37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"#co_footnoteReference_F108101952054_ID0EG"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2" w:anchor="co_pp_sp_1037_39199" w:history="1">
              <w:r w:rsidR="00CA2116">
                <w:rPr>
                  <w:rFonts w:ascii="Times New Roman" w:hAnsi="Times New Roman" w:cs="Times New Roman"/>
                  <w:color w:val="0000FF"/>
                  <w:sz w:val="18"/>
                  <w:szCs w:val="18"/>
                </w:rPr>
                <w:t>47 Fed.Reg. 39,199 (1982)</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8" w:name="co_footnote_F109101952054_1"/>
      <w:bookmarkEnd w:id="37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"#co_footnoteReference_F109101952054_ID0EL"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109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3" w:anchor="co_pp_sp_1037_48457" w:history="1">
              <w:r w:rsidR="00CA2116">
                <w:rPr>
                  <w:rFonts w:ascii="Times New Roman" w:hAnsi="Times New Roman" w:cs="Times New Roman"/>
                  <w:color w:val="0000FF"/>
                  <w:sz w:val="18"/>
                  <w:szCs w:val="18"/>
                </w:rPr>
                <w:t>48 Fed.Reg. 48,457 (1983)</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79" w:name="co_footnote_F110101952054_1"/>
      <w:bookmarkEnd w:id="37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"#co_footnoteReference_F110101952054_ID0EV"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4" w:history="1">
              <w:r w:rsidR="00CA2116">
                <w:rPr>
                  <w:rFonts w:ascii="Times New Roman" w:hAnsi="Times New Roman" w:cs="Times New Roman"/>
                  <w:color w:val="0000FF"/>
                  <w:sz w:val="18"/>
                  <w:szCs w:val="18"/>
                </w:rPr>
                <w:t>Id. at 48,458.</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0" w:name="co_footnote_F111101952054_1"/>
      <w:bookmarkEnd w:id="38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"#co_footnoteReference_F111101952054_ID0E4"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1" w:name="co_footnote_F112101952054_1"/>
      <w:bookmarkEnd w:id="38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"#co_footnoteReference_F112101952054_ID0EN"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2" w:name="co_footnote_F113101952054_1"/>
      <w:bookmarkEnd w:id="38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"#co_footnoteReference_F113101952054_ID0E4"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3" w:name="co_footnote_F114101952054_1"/>
      <w:bookmarkEnd w:id="38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r>
            <w:r>
              <w:rPr>
                <w:rFonts w:ascii="Times New Roman" w:hAnsi="Times New Roman" w:cs="Times New Roman"/>
                <w:color w:val="000000"/>
                <w:sz w:val="20"/>
                <w:szCs w:val="20"/>
              </w:rPr>
              <w:instrText xml:space="preserve">HYPERLINK "#co_footnoteReference_F114101952054_ID0EP"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Id. (emphasis added).</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4" w:name="co_footnote_F115101952054_1"/>
      <w:bookmarkEnd w:id="38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"#co_footnoteReference_F115101952054_ID0ED"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5" w:history="1">
              <w:r w:rsidR="00CA2116">
                <w:rPr>
                  <w:rFonts w:ascii="Times New Roman" w:hAnsi="Times New Roman" w:cs="Times New Roman"/>
                  <w:color w:val="0000FF"/>
                  <w:sz w:val="18"/>
                  <w:szCs w:val="18"/>
                </w:rPr>
                <w:t>39 Fed.Reg. 34,195 (1974)</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5" w:name="co_footnote_F116101952054_1"/>
      <w:bookmarkEnd w:id="385"/>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"#co_footnoteReference_F116101952054_ID0ET"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116</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6" w:history="1">
              <w:r w:rsidR="00CA2116">
                <w:rPr>
                  <w:rFonts w:ascii="Times New Roman" w:hAnsi="Times New Roman" w:cs="Times New Roman"/>
                  <w:color w:val="0000FF"/>
                  <w:sz w:val="18"/>
                  <w:szCs w:val="18"/>
                </w:rPr>
                <w:t>41 Fed.Reg. 53,600 (1976)</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6" w:name="co_footnote_F117101952054_1"/>
      <w:bookmarkEnd w:id="386"/>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"#co_footnoteReference_F117101952054_ID0EC"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117</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7" w:history="1">
              <w:r w:rsidR="00CA2116">
                <w:rPr>
                  <w:rFonts w:ascii="Times New Roman" w:hAnsi="Times New Roman" w:cs="Times New Roman"/>
                  <w:color w:val="0000FF"/>
                  <w:sz w:val="18"/>
                  <w:szCs w:val="18"/>
                </w:rPr>
                <w:t>Fmali Herb Inc. v. Heckler, 715 F.2d 1385 (9th Cir.1983)</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7" w:name="co_footnote_F118101952054_1"/>
      <w:bookmarkEnd w:id="387"/>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"#co_footnoteReference_F118101952054_ID0EB"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118</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8" w:history="1">
              <w:r w:rsidR="00CA2116">
                <w:rPr>
                  <w:rFonts w:ascii="Times New Roman" w:hAnsi="Times New Roman" w:cs="Times New Roman"/>
                  <w:color w:val="0000FF"/>
                  <w:sz w:val="18"/>
                  <w:szCs w:val="18"/>
                </w:rPr>
                <w:t>Id. at 1389-90.</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8" w:name="co_footnote_F119101952054_1"/>
      <w:bookmarkEnd w:id="388"/>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"#co_footnoteReference_F119101952054_ID0EX"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119</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99" w:anchor="co_pp_sp_1037_27294" w:history="1">
              <w:r w:rsidR="00CA2116">
                <w:rPr>
                  <w:rFonts w:ascii="Times New Roman" w:hAnsi="Times New Roman" w:cs="Times New Roman"/>
                  <w:color w:val="0000FF"/>
                  <w:sz w:val="18"/>
                  <w:szCs w:val="18"/>
                </w:rPr>
                <w:t>50 Fed.Reg. 27,294 (1985)</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89" w:name="co_footnote_F120101952054_1"/>
      <w:bookmarkEnd w:id="389"/>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"#co_footnoteReference_F120101952054_ID0E3"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120</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100" w:history="1">
              <w:r w:rsidR="00CA2116">
                <w:rPr>
                  <w:rFonts w:ascii="Times New Roman" w:hAnsi="Times New Roman" w:cs="Times New Roman"/>
                  <w:color w:val="0000FF"/>
                  <w:sz w:val="18"/>
                  <w:szCs w:val="18"/>
                </w:rPr>
                <w:t>Id. at 27,296.</w:t>
              </w:r>
            </w:hyperlink>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90" w:name="co_footnote_F121101952054_1"/>
      <w:bookmarkEnd w:id="390"/>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"#co_footnoteReference_F121101952054_ID0EN"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121</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A625DB">
            <w:pPr>
              <w:widowControl w:val="0"/>
              <w:autoSpaceDE w:val="0"/>
              <w:autoSpaceDN w:val="0"/>
              <w:adjustRightInd w:val="0"/>
              <w:spacing w:after="0" w:line="240" w:lineRule="auto"/>
              <w:jc w:val="both"/>
              <w:rPr>
                <w:rFonts w:ascii="Times New Roman" w:hAnsi="Times New Roman" w:cs="Times New Roman"/>
                <w:color w:val="000000"/>
                <w:sz w:val="18"/>
                <w:szCs w:val="18"/>
              </w:rPr>
            </w:pPr>
            <w:hyperlink r:id="rId101" w:anchor="co_pp_sp_1037_16544" w:history="1">
              <w:r w:rsidR="00CA2116">
                <w:rPr>
                  <w:rFonts w:ascii="Times New Roman" w:hAnsi="Times New Roman" w:cs="Times New Roman"/>
                  <w:color w:val="0000FF"/>
                  <w:sz w:val="18"/>
                  <w:szCs w:val="18"/>
                </w:rPr>
                <w:t>53 Fed.Reg. 16,544 (1988)</w:t>
              </w:r>
            </w:hyperlink>
            <w:r w:rsidR="00CA2116">
              <w:rPr>
                <w:rFonts w:ascii="Times New Roman" w:hAnsi="Times New Roman" w:cs="Times New Roman"/>
                <w:color w:val="000000"/>
                <w:sz w:val="18"/>
                <w:szCs w:val="18"/>
              </w:rPr>
              <w:t xml:space="preserve">; </w:t>
            </w:r>
            <w:hyperlink r:id="rId102" w:anchor="co_pp_fcf30000ea9c4" w:history="1">
              <w:r w:rsidR="00CA2116">
                <w:rPr>
                  <w:rFonts w:ascii="Times New Roman" w:hAnsi="Times New Roman" w:cs="Times New Roman"/>
                  <w:color w:val="0000FF"/>
                  <w:sz w:val="18"/>
                  <w:szCs w:val="18"/>
                </w:rPr>
                <w:t>21 C.F.R. § 170.30(c</w:t>
              </w:r>
              <w:proofErr w:type="gramStart"/>
              <w:r w:rsidR="00CA2116">
                <w:rPr>
                  <w:rFonts w:ascii="Times New Roman" w:hAnsi="Times New Roman" w:cs="Times New Roman"/>
                  <w:color w:val="0000FF"/>
                  <w:sz w:val="18"/>
                  <w:szCs w:val="18"/>
                </w:rPr>
                <w:t>)(</w:t>
              </w:r>
              <w:proofErr w:type="gramEnd"/>
              <w:r w:rsidR="00CA2116">
                <w:rPr>
                  <w:rFonts w:ascii="Times New Roman" w:hAnsi="Times New Roman" w:cs="Times New Roman"/>
                  <w:color w:val="0000FF"/>
                  <w:sz w:val="18"/>
                  <w:szCs w:val="18"/>
                </w:rPr>
                <w:t>2)</w:t>
              </w:r>
            </w:hyperlink>
            <w:r w:rsidR="00CA2116">
              <w:rPr>
                <w:rFonts w:ascii="Times New Roman" w:hAnsi="Times New Roman" w:cs="Times New Roman"/>
                <w:color w:val="000000"/>
                <w:sz w:val="18"/>
                <w:szCs w:val="18"/>
              </w:rPr>
              <w:t>.</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91" w:name="co_footnote_F122101952054_1"/>
      <w:bookmarkEnd w:id="391"/>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"#co_footnoteReference_F122101952054_ID0EX"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122</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R. LEWIN, BONES OF CONTENTION 13-29 (1987).</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92" w:name="co_footnote_F123101952054_1"/>
      <w:bookmarkEnd w:id="392"/>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"#co_footnoteReference_F123101952054_ID0EE"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123</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supra text accompanying notes 24 and 25.</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93" w:name="co_footnote_F124101952054_1"/>
      <w:bookmarkEnd w:id="393"/>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"#co_footnoteReference_F124101952054_ID0EJ"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124</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INTERNATIONAL FOOD BIOTECHNOLOGY COUNCIL, BIOTECHNOLOGIES AND FOOD: ASSURING THE SAFETY OF FOODS PRODUCED BY GENETIC MODIFICATION (1990).</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bookmarkStart w:id="394" w:name="co_footnote_F125101952054_1"/>
      <w:bookmarkEnd w:id="394"/>
      <w:tr w:rsidR="00BA7631">
        <w:tc>
          <w:tcPr>
            <w:tcW w:w="600" w:type="dxa"/>
            <w:tcBorders>
              <w:top w:val="nil"/>
              <w:left w:val="nil"/>
              <w:bottom w:val="nil"/>
              <w:right w:val="nil"/>
            </w:tcBorders>
          </w:tcPr>
          <w:p w:rsidR="00BA7631" w:rsidRDefault="00CA211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HYPERLINK "#co_footnoteReference_F125101952054_ID0ED" </w:instrText>
            </w:r>
            <w:r>
              <w:rPr>
                <w:rFonts w:ascii="Times New Roman" w:hAnsi="Times New Roman" w:cs="Times New Roman"/>
                <w:color w:val="000000"/>
                <w:sz w:val="20"/>
                <w:szCs w:val="20"/>
              </w:rPr>
              <w:fldChar w:fldCharType="separate"/>
            </w:r>
            <w:r>
              <w:rPr>
                <w:rFonts w:ascii="Times New Roman" w:hAnsi="Times New Roman" w:cs="Times New Roman"/>
                <w:color w:val="0000FF"/>
                <w:sz w:val="20"/>
                <w:szCs w:val="20"/>
                <w:vertAlign w:val="superscript"/>
              </w:rPr>
              <w:t>125</w:t>
            </w:r>
            <w:r>
              <w:rPr>
                <w:rFonts w:ascii="Times New Roman" w:hAnsi="Times New Roman" w:cs="Times New Roman"/>
                <w:color w:val="000000"/>
                <w:sz w:val="20"/>
                <w:szCs w:val="20"/>
              </w:rPr>
              <w:fldChar w:fldCharType="end"/>
            </w:r>
          </w:p>
          <w:p w:rsidR="00BA7631" w:rsidRDefault="00BA7631">
            <w:pPr>
              <w:widowControl w:val="0"/>
              <w:autoSpaceDE w:val="0"/>
              <w:autoSpaceDN w:val="0"/>
              <w:adjustRightInd w:val="0"/>
              <w:spacing w:after="0" w:line="240" w:lineRule="auto"/>
              <w:rPr>
                <w:rFonts w:ascii="Times New Roman" w:hAnsi="Times New Roman" w:cs="Times New Roman"/>
                <w:color w:val="000000"/>
                <w:sz w:val="20"/>
                <w:szCs w:val="20"/>
              </w:rPr>
            </w:pPr>
          </w:p>
        </w:tc>
        <w:tc>
          <w:tcPr>
            <w:tcW w:w="9480" w:type="dxa"/>
            <w:tcBorders>
              <w:top w:val="nil"/>
              <w:left w:val="nil"/>
              <w:bottom w:val="nil"/>
              <w:right w:val="nil"/>
            </w:tcBorders>
            <w:tcMar>
              <w:top w:w="90" w:type="dxa"/>
              <w:bottom w:w="90" w:type="dxa"/>
            </w:tcMar>
          </w:tcPr>
          <w:p w:rsidR="00BA7631" w:rsidRDefault="00CA2116">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See supra text accompanying notes 113 and 114.</w:t>
            </w:r>
          </w:p>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18"/>
                <w:szCs w:val="18"/>
              </w:rPr>
            </w:pPr>
          </w:p>
        </w:tc>
      </w:tr>
    </w:tbl>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BA7631" w:rsidRDefault="00CA2116">
      <w:pPr>
        <w:widowControl w:val="0"/>
        <w:autoSpaceDE w:val="0"/>
        <w:autoSpaceDN w:val="0"/>
        <w:adjustRightInd w:val="0"/>
        <w:spacing w:after="0" w:line="240" w:lineRule="auto"/>
        <w:jc w:val="center"/>
        <w:rPr>
          <w:rFonts w:ascii="Georgia" w:hAnsi="Georgia" w:cs="Georgia"/>
          <w:color w:val="000000"/>
          <w:sz w:val="20"/>
          <w:szCs w:val="20"/>
        </w:rPr>
      </w:pPr>
      <w:r>
        <w:rPr>
          <w:rFonts w:ascii="Georgia" w:hAnsi="Georgia" w:cs="Georgia"/>
          <w:color w:val="000000"/>
          <w:sz w:val="20"/>
          <w:szCs w:val="20"/>
        </w:rPr>
        <w:t>46 FOODDCLJ 553</w:t>
      </w:r>
    </w:p>
    <w:tbl>
      <w:tblPr>
        <w:tblW w:w="0" w:type="auto"/>
        <w:tblInd w:w="24" w:type="dxa"/>
        <w:tblLayout w:type="fixed"/>
        <w:tblCellMar>
          <w:left w:w="0" w:type="dxa"/>
          <w:right w:w="0" w:type="dxa"/>
        </w:tblCellMar>
        <w:tblLook w:val="0000" w:firstRow="0" w:lastRow="0" w:firstColumn="0" w:lastColumn="0" w:noHBand="0" w:noVBand="0"/>
      </w:tblPr>
      <w:tblGrid>
        <w:gridCol w:w="4320"/>
        <w:gridCol w:w="5760"/>
      </w:tblGrid>
      <w:tr w:rsidR="00BA7631">
        <w:tc>
          <w:tcPr>
            <w:tcW w:w="4320" w:type="dxa"/>
            <w:tcBorders>
              <w:top w:val="single" w:sz="4" w:space="0" w:color="777777"/>
              <w:left w:val="nil"/>
              <w:bottom w:val="nil"/>
              <w:right w:val="nil"/>
            </w:tcBorders>
            <w:tcMar>
              <w:top w:w="100" w:type="dxa"/>
              <w:left w:w="24" w:type="dxa"/>
              <w:right w:w="24" w:type="dxa"/>
            </w:tcMar>
          </w:tcPr>
          <w:p w:rsidR="00BA7631" w:rsidRDefault="00CA2116">
            <w:pPr>
              <w:widowControl w:val="0"/>
              <w:autoSpaceDE w:val="0"/>
              <w:autoSpaceDN w:val="0"/>
              <w:adjustRightInd w:val="0"/>
              <w:spacing w:after="0" w:line="240" w:lineRule="auto"/>
              <w:ind w:left="24" w:right="24"/>
              <w:rPr>
                <w:rFonts w:ascii="Times New Roman" w:hAnsi="Times New Roman" w:cs="Times New Roman"/>
                <w:b/>
                <w:bCs/>
                <w:color w:val="777777"/>
                <w:sz w:val="16"/>
                <w:szCs w:val="16"/>
              </w:rPr>
            </w:pPr>
            <w:r>
              <w:rPr>
                <w:rFonts w:ascii="Times New Roman" w:hAnsi="Times New Roman" w:cs="Times New Roman"/>
                <w:b/>
                <w:bCs/>
                <w:color w:val="777777"/>
                <w:sz w:val="16"/>
                <w:szCs w:val="16"/>
              </w:rPr>
              <w:t>End of Document</w:t>
            </w:r>
          </w:p>
          <w:p w:rsidR="00BA7631" w:rsidRDefault="00BA7631">
            <w:pPr>
              <w:widowControl w:val="0"/>
              <w:autoSpaceDE w:val="0"/>
              <w:autoSpaceDN w:val="0"/>
              <w:adjustRightInd w:val="0"/>
              <w:spacing w:after="0" w:line="240" w:lineRule="auto"/>
              <w:ind w:left="24" w:right="24"/>
              <w:rPr>
                <w:rFonts w:ascii="Times New Roman" w:hAnsi="Times New Roman" w:cs="Times New Roman"/>
                <w:b/>
                <w:bCs/>
                <w:color w:val="777777"/>
                <w:sz w:val="16"/>
                <w:szCs w:val="16"/>
              </w:rPr>
            </w:pPr>
          </w:p>
        </w:tc>
        <w:tc>
          <w:tcPr>
            <w:tcW w:w="5760" w:type="dxa"/>
            <w:tcBorders>
              <w:top w:val="single" w:sz="4" w:space="0" w:color="777777"/>
              <w:left w:val="nil"/>
              <w:bottom w:val="nil"/>
              <w:right w:val="nil"/>
            </w:tcBorders>
            <w:tcMar>
              <w:top w:w="100" w:type="dxa"/>
              <w:left w:w="24" w:type="dxa"/>
              <w:right w:w="24" w:type="dxa"/>
            </w:tcMar>
          </w:tcPr>
          <w:p w:rsidR="00BA7631" w:rsidRDefault="00CA2116">
            <w:pPr>
              <w:widowControl w:val="0"/>
              <w:autoSpaceDE w:val="0"/>
              <w:autoSpaceDN w:val="0"/>
              <w:adjustRightInd w:val="0"/>
              <w:spacing w:after="0" w:line="240" w:lineRule="auto"/>
              <w:ind w:left="24" w:right="24"/>
              <w:jc w:val="right"/>
              <w:rPr>
                <w:rFonts w:ascii="Times New Roman" w:hAnsi="Times New Roman" w:cs="Times New Roman"/>
                <w:color w:val="777777"/>
                <w:sz w:val="16"/>
                <w:szCs w:val="16"/>
              </w:rPr>
            </w:pPr>
            <w:r>
              <w:rPr>
                <w:rFonts w:ascii="Times New Roman" w:hAnsi="Times New Roman" w:cs="Times New Roman"/>
                <w:color w:val="777777"/>
                <w:sz w:val="16"/>
                <w:szCs w:val="16"/>
              </w:rPr>
              <w:t>© 2016 Thomson Reuters. No claim to original U.S. Government Works.</w:t>
            </w:r>
          </w:p>
          <w:p w:rsidR="00BA7631" w:rsidRDefault="00BA7631">
            <w:pPr>
              <w:widowControl w:val="0"/>
              <w:autoSpaceDE w:val="0"/>
              <w:autoSpaceDN w:val="0"/>
              <w:adjustRightInd w:val="0"/>
              <w:spacing w:after="0" w:line="240" w:lineRule="auto"/>
              <w:ind w:left="24" w:right="24"/>
              <w:jc w:val="right"/>
              <w:rPr>
                <w:rFonts w:ascii="Times New Roman" w:hAnsi="Times New Roman" w:cs="Times New Roman"/>
                <w:color w:val="777777"/>
                <w:sz w:val="16"/>
                <w:szCs w:val="16"/>
              </w:rPr>
            </w:pPr>
          </w:p>
        </w:tc>
      </w:tr>
    </w:tbl>
    <w:p w:rsidR="00BA7631" w:rsidRDefault="00BA7631">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A2116" w:rsidRDefault="00CA2116">
      <w:pPr>
        <w:widowControl w:val="0"/>
        <w:autoSpaceDE w:val="0"/>
        <w:autoSpaceDN w:val="0"/>
        <w:adjustRightInd w:val="0"/>
        <w:spacing w:after="0" w:line="240" w:lineRule="auto"/>
        <w:rPr>
          <w:rFonts w:ascii="Arial" w:hAnsi="Arial" w:cs="Arial"/>
          <w:sz w:val="24"/>
          <w:szCs w:val="24"/>
        </w:rPr>
      </w:pPr>
    </w:p>
    <w:sectPr w:rsidR="00CA2116">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5DB" w:rsidRDefault="00A625DB">
      <w:pPr>
        <w:spacing w:after="0" w:line="240" w:lineRule="auto"/>
      </w:pPr>
      <w:r>
        <w:separator/>
      </w:r>
    </w:p>
  </w:endnote>
  <w:endnote w:type="continuationSeparator" w:id="0">
    <w:p w:rsidR="00A625DB" w:rsidRDefault="00A6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9300"/>
      <w:gridCol w:w="700"/>
    </w:tblGrid>
    <w:tr w:rsidR="00BA7631">
      <w:tc>
        <w:tcPr>
          <w:tcW w:w="9300" w:type="dxa"/>
          <w:tcBorders>
            <w:top w:val="single" w:sz="8" w:space="0" w:color="AAAAAA"/>
            <w:left w:val="nil"/>
            <w:bottom w:val="nil"/>
            <w:right w:val="nil"/>
          </w:tcBorders>
          <w:tcMar>
            <w:top w:w="60" w:type="dxa"/>
          </w:tcMar>
          <w:vAlign w:val="bottom"/>
        </w:tcPr>
        <w:p w:rsidR="00BA7631" w:rsidRDefault="0064005E">
          <w:pPr>
            <w:widowControl w:val="0"/>
            <w:autoSpaceDE w:val="0"/>
            <w:autoSpaceDN w:val="0"/>
            <w:adjustRightInd w:val="0"/>
            <w:spacing w:after="0" w:line="240" w:lineRule="auto"/>
            <w:rPr>
              <w:rFonts w:ascii="Arial" w:hAnsi="Arial" w:cs="Arial"/>
              <w:color w:val="AAAAAA"/>
              <w:sz w:val="20"/>
              <w:szCs w:val="20"/>
            </w:rPr>
          </w:pPr>
          <w:r>
            <w:rPr>
              <w:rFonts w:ascii="Arial" w:hAnsi="Arial" w:cs="Arial"/>
              <w:noProof/>
              <w:color w:val="AAAAAA"/>
              <w:sz w:val="20"/>
              <w:szCs w:val="20"/>
            </w:rPr>
            <w:drawing>
              <wp:inline distT="0" distB="0" distL="0" distR="0">
                <wp:extent cx="745490" cy="97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7790"/>
                        </a:xfrm>
                        <a:prstGeom prst="rect">
                          <a:avLst/>
                        </a:prstGeom>
                        <a:noFill/>
                        <a:ln>
                          <a:noFill/>
                        </a:ln>
                      </pic:spPr>
                    </pic:pic>
                  </a:graphicData>
                </a:graphic>
              </wp:inline>
            </w:drawing>
          </w:r>
          <w:r w:rsidR="00CA2116">
            <w:rPr>
              <w:rFonts w:ascii="Arial" w:hAnsi="Arial" w:cs="Arial"/>
              <w:color w:val="AAAAAA"/>
              <w:sz w:val="20"/>
              <w:szCs w:val="20"/>
            </w:rPr>
            <w:t xml:space="preserve"> © 2016 Thomson Reuters. No claim to original U.S. Government Works.</w:t>
          </w:r>
        </w:p>
      </w:tc>
      <w:tc>
        <w:tcPr>
          <w:tcW w:w="700" w:type="dxa"/>
          <w:tcBorders>
            <w:top w:val="single" w:sz="8" w:space="0" w:color="AAAAAA"/>
            <w:left w:val="nil"/>
            <w:bottom w:val="nil"/>
            <w:right w:val="nil"/>
          </w:tcBorders>
          <w:tcMar>
            <w:top w:w="60" w:type="dxa"/>
          </w:tcMar>
        </w:tcPr>
        <w:p w:rsidR="00BA7631" w:rsidRDefault="00CA2116">
          <w:pPr>
            <w:widowControl w:val="0"/>
            <w:autoSpaceDE w:val="0"/>
            <w:autoSpaceDN w:val="0"/>
            <w:adjustRightInd w:val="0"/>
            <w:spacing w:after="0" w:line="240" w:lineRule="auto"/>
            <w:jc w:val="right"/>
            <w:rPr>
              <w:rFonts w:ascii="Arial" w:hAnsi="Arial" w:cs="Arial"/>
              <w:color w:val="AAAAAA"/>
              <w:sz w:val="20"/>
              <w:szCs w:val="20"/>
            </w:rPr>
          </w:pPr>
          <w:r>
            <w:rPr>
              <w:rFonts w:ascii="Arial" w:hAnsi="Arial" w:cs="Arial"/>
              <w:color w:val="AAAAAA"/>
              <w:sz w:val="20"/>
              <w:szCs w:val="20"/>
            </w:rPr>
            <w:pgNum/>
          </w:r>
        </w:p>
      </w:tc>
    </w:tr>
  </w:tbl>
  <w:p w:rsidR="00BA7631" w:rsidRDefault="00BA7631">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5DB" w:rsidRDefault="00A625DB">
      <w:pPr>
        <w:spacing w:after="0" w:line="240" w:lineRule="auto"/>
      </w:pPr>
      <w:r>
        <w:separator/>
      </w:r>
    </w:p>
  </w:footnote>
  <w:footnote w:type="continuationSeparator" w:id="0">
    <w:p w:rsidR="00A625DB" w:rsidRDefault="00A62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9380"/>
      <w:gridCol w:w="700"/>
    </w:tblGrid>
    <w:tr w:rsidR="00BA7631">
      <w:tc>
        <w:tcPr>
          <w:tcW w:w="9380" w:type="dxa"/>
          <w:tcBorders>
            <w:top w:val="nil"/>
            <w:left w:val="nil"/>
            <w:bottom w:val="single" w:sz="8" w:space="0" w:color="AAAAAA"/>
            <w:right w:val="nil"/>
          </w:tcBorders>
          <w:tcMar>
            <w:top w:w="400" w:type="dxa"/>
            <w:bottom w:w="60" w:type="dxa"/>
          </w:tcMar>
          <w:vAlign w:val="bottom"/>
        </w:tcPr>
        <w:p w:rsidR="00BA7631" w:rsidRDefault="00CA2116">
          <w:pPr>
            <w:widowControl w:val="0"/>
            <w:autoSpaceDE w:val="0"/>
            <w:autoSpaceDN w:val="0"/>
            <w:adjustRightInd w:val="0"/>
            <w:spacing w:after="0" w:line="240" w:lineRule="auto"/>
            <w:rPr>
              <w:rFonts w:ascii="Arial" w:hAnsi="Arial" w:cs="Arial"/>
              <w:color w:val="000000"/>
              <w:sz w:val="18"/>
              <w:szCs w:val="18"/>
            </w:rPr>
          </w:pPr>
          <w:r>
            <w:rPr>
              <w:rFonts w:ascii="Arial" w:hAnsi="Arial" w:cs="Arial"/>
              <w:b/>
              <w:bCs/>
              <w:color w:val="555555"/>
              <w:sz w:val="18"/>
              <w:szCs w:val="18"/>
            </w:rPr>
            <w:t>RETHINKING THE APPLICABILITY AND USEFULNESS OF..., 46 Food Drug Cosm....</w:t>
          </w:r>
        </w:p>
      </w:tc>
      <w:tc>
        <w:tcPr>
          <w:tcW w:w="700" w:type="dxa"/>
          <w:tcBorders>
            <w:top w:val="nil"/>
            <w:left w:val="nil"/>
            <w:bottom w:val="single" w:sz="8" w:space="0" w:color="AAAAAA"/>
            <w:right w:val="nil"/>
          </w:tcBorders>
          <w:tcMar>
            <w:top w:w="400" w:type="dxa"/>
            <w:bottom w:w="60" w:type="dxa"/>
          </w:tcMar>
        </w:tcPr>
        <w:p w:rsidR="00BA7631" w:rsidRDefault="00BA7631">
          <w:pPr>
            <w:widowControl w:val="0"/>
            <w:autoSpaceDE w:val="0"/>
            <w:autoSpaceDN w:val="0"/>
            <w:adjustRightInd w:val="0"/>
            <w:spacing w:after="0" w:line="240" w:lineRule="auto"/>
            <w:jc w:val="right"/>
            <w:rPr>
              <w:rFonts w:ascii="Arial" w:hAnsi="Arial" w:cs="Arial"/>
              <w:color w:val="000000"/>
              <w:sz w:val="18"/>
              <w:szCs w:val="18"/>
            </w:rPr>
          </w:pPr>
        </w:p>
      </w:tc>
    </w:tr>
    <w:tr w:rsidR="00BA7631">
      <w:tc>
        <w:tcPr>
          <w:tcW w:w="10080" w:type="dxa"/>
          <w:gridSpan w:val="2"/>
          <w:tcBorders>
            <w:top w:val="nil"/>
            <w:left w:val="nil"/>
            <w:bottom w:val="nil"/>
            <w:right w:val="nil"/>
          </w:tcBorders>
        </w:tcPr>
        <w:p w:rsidR="00BA7631" w:rsidRDefault="00BA7631">
          <w:pPr>
            <w:widowControl w:val="0"/>
            <w:autoSpaceDE w:val="0"/>
            <w:autoSpaceDN w:val="0"/>
            <w:adjustRightInd w:val="0"/>
            <w:spacing w:after="0" w:line="240" w:lineRule="auto"/>
            <w:rPr>
              <w:rFonts w:ascii="Arial" w:hAnsi="Arial" w:cs="Arial"/>
              <w:color w:val="000000"/>
              <w:sz w:val="18"/>
              <w:szCs w:val="18"/>
            </w:rPr>
          </w:pPr>
        </w:p>
      </w:tc>
    </w:tr>
  </w:tbl>
  <w:p w:rsidR="00BA7631" w:rsidRDefault="00BA7631">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05E"/>
    <w:rsid w:val="0064005E"/>
    <w:rsid w:val="0094772D"/>
    <w:rsid w:val="00A625DB"/>
    <w:rsid w:val="00BA7631"/>
    <w:rsid w:val="00CA2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CC8EBC-BD29-4B8D-8755-4B8774E9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http://www.westlaw.com/Link/Document/FullText?findType=Y&amp;serNum=0306902473&amp;pubNum=0001037&amp;originatingDoc=I17f4cfb149c011dba16d88fb847e95e5&amp;refType=FR&amp;originationContext=document&amp;vr=3.0&amp;rs=cblt1.0&amp;transitionType=DocumentItem&amp;contextData=(sc.Search)" TargetMode="External"/><Relationship Id="rId21" Type="http://schemas.openxmlformats.org/officeDocument/2006/relationships/hyperlink" Target="http://www.westlaw.com/Link/Document/FullText?findType=Y&amp;pubNum=0001037&amp;cite=24FR9368&amp;originatingDoc=I17f4cfb149c011dba16d88fb847e95e5&amp;refType=FR&amp;originationContext=document&amp;vr=3.0&amp;rs=cblt1.0&amp;transitionType=DocumentItem&amp;contextData=(sc.Search)" TargetMode="External"/><Relationship Id="rId42" Type="http://schemas.openxmlformats.org/officeDocument/2006/relationships/hyperlink" Target="http://www.westlaw.com/Link/Document/FullText?findType=Y&amp;serNum=1974105289&amp;pubNum=345&amp;originatingDoc=I17f4cfb149c011dba16d88fb847e95e5&amp;refType=RP&amp;originationContext=document&amp;vr=3.0&amp;rs=cblt1.0&amp;transitionType=DocumentItem&amp;contextData=(sc.Search)" TargetMode="External"/><Relationship Id="rId47" Type="http://schemas.openxmlformats.org/officeDocument/2006/relationships/hyperlink" Target="http://www.westlaw.com/Link/Document/FullText?findType=Y&amp;serNum=1973245798&amp;pubNum=780&amp;originatingDoc=I17f4cfb149c011dba16d88fb847e95e5&amp;refType=RP&amp;originationContext=document&amp;vr=3.0&amp;rs=cblt1.0&amp;transitionType=DocumentItem&amp;contextData=(sc.Search)" TargetMode="External"/><Relationship Id="rId63" Type="http://schemas.openxmlformats.org/officeDocument/2006/relationships/hyperlink" Target="http://www.westlaw.com/Link/Document/FullText?findType=Y&amp;serNum=1967114107&amp;pubNum=345&amp;originatingDoc=I17f4cfb149c011dba16d88fb847e95e5&amp;refType=RP&amp;originationContext=document&amp;vr=3.0&amp;rs=cblt1.0&amp;transitionType=DocumentItem&amp;contextData=(sc.Search)" TargetMode="External"/><Relationship Id="rId68" Type="http://schemas.openxmlformats.org/officeDocument/2006/relationships/hyperlink" Target="http://www.westlaw.com/Link/Document/FullText?findType=Y&amp;serNum=1968115580&amp;pubNum=345&amp;originatingDoc=I17f4cfb149c011dba16d88fb847e95e5&amp;refType=RP&amp;fi=co_pp_sp_345_1311&amp;originationContext=document&amp;vr=3.0&amp;rs=cblt1.0&amp;transitionType=DocumentItem&amp;contextData=(sc.Search)" TargetMode="External"/><Relationship Id="rId84" Type="http://schemas.openxmlformats.org/officeDocument/2006/relationships/hyperlink" Target="http://www.westlaw.com/Link/Document/FullText?findType=Y&amp;serNum=1972105681&amp;pubNum=345&amp;originatingDoc=I17f4cfb149c011dba16d88fb847e95e5&amp;refType=RP&amp;fi=co_pp_sp_345_574&amp;originationContext=document&amp;vr=3.0&amp;rs=cblt1.0&amp;transitionType=DocumentItem&amp;contextData=(sc.Search)" TargetMode="External"/><Relationship Id="rId89" Type="http://schemas.openxmlformats.org/officeDocument/2006/relationships/hyperlink" Target="http://www.westlaw.com/Link/Document/FullText?findType=Y&amp;serNum=1979140060&amp;pubNum=350&amp;originatingDoc=I17f4cfb149c011dba16d88fb847e95e5&amp;refType=RP&amp;fi=co_pp_sp_350_955&amp;originationContext=document&amp;vr=3.0&amp;rs=cblt1.0&amp;transitionType=DocumentItem&amp;contextData=(sc.Search)" TargetMode="External"/><Relationship Id="rId7" Type="http://schemas.openxmlformats.org/officeDocument/2006/relationships/footer" Target="footer1.xml"/><Relationship Id="rId71" Type="http://schemas.openxmlformats.org/officeDocument/2006/relationships/hyperlink" Target="http://www.westlaw.com/Link/Document/FullText?findType=Y&amp;serNum=1983212368&amp;pubNum=780&amp;originatingDoc=I17f4cfb149c011dba16d88fb847e95e5&amp;refType=RP&amp;originationContext=document&amp;vr=3.0&amp;rs=cblt1.0&amp;transitionType=DocumentItem&amp;contextData=(sc.Search)" TargetMode="External"/><Relationship Id="rId92" Type="http://schemas.openxmlformats.org/officeDocument/2006/relationships/hyperlink" Target="http://www.westlaw.com/Link/Document/FullText?findType=Y&amp;serNum=0102327705&amp;pubNum=1037&amp;originatingDoc=I17f4cfb149c011dba16d88fb847e95e5&amp;refType=FR&amp;fi=co_pp_sp_1037_39199&amp;originationContext=document&amp;vr=3.0&amp;rs=cblt1.0&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www.westlaw.com/Link/Document/FullText?findType=L&amp;pubNum=1000546&amp;cite=21USCAS321&amp;originatingDoc=I17f4cfb149c011dba16d88fb847e95e5&amp;refType=RB&amp;originationContext=document&amp;vr=3.0&amp;rs=cblt1.0&amp;transitionType=DocumentItem&amp;contextData=(sc.Search)" TargetMode="External"/><Relationship Id="rId29" Type="http://schemas.openxmlformats.org/officeDocument/2006/relationships/hyperlink" Target="http://www.westlaw.com/Link/Document/FullText?findType=L&amp;pubNum=1000547&amp;cite=21CFRS170.30&amp;originatingDoc=I17f4cfb149c011dba16d88fb847e95e5&amp;refType=LQ&amp;originationContext=document&amp;vr=3.0&amp;rs=cblt1.0&amp;transitionType=DocumentItem&amp;contextData=(sc.Search)" TargetMode="External"/><Relationship Id="rId11" Type="http://schemas.openxmlformats.org/officeDocument/2006/relationships/hyperlink" Target="http://www.westlaw.com/Link/Document/FullText?findType=L&amp;pubNum=1000546&amp;cite=21USCAS321&amp;originatingDoc=I17f4cfb149c011dba16d88fb847e95e5&amp;refType=RB&amp;originationContext=document&amp;vr=3.0&amp;rs=cblt1.0&amp;transitionType=DocumentItem&amp;contextData=(sc.Search)" TargetMode="External"/><Relationship Id="rId24" Type="http://schemas.openxmlformats.org/officeDocument/2006/relationships/hyperlink" Target="http://www.westlaw.com/Link/Document/FullText?findType=Y&amp;pubNum=1037&amp;cite=23FR9512&amp;originatingDoc=I17f4cfb149c011dba16d88fb847e95e5&amp;refType=NA&amp;originationContext=document&amp;vr=3.0&amp;rs=cblt1.0&amp;transitionType=DocumentItem&amp;contextData=(sc.Search)" TargetMode="External"/><Relationship Id="rId32" Type="http://schemas.openxmlformats.org/officeDocument/2006/relationships/hyperlink" Target="http://www.westlaw.com/Link/Document/FullText?findType=L&amp;pubNum=1000547&amp;cite=21CFRS170.30&amp;originatingDoc=I17f4cfb149c011dba16d88fb847e95e5&amp;refType=RB&amp;originationContext=document&amp;vr=3.0&amp;rs=cblt1.0&amp;transitionType=DocumentItem&amp;contextData=(sc.Search)" TargetMode="External"/><Relationship Id="rId37" Type="http://schemas.openxmlformats.org/officeDocument/2006/relationships/hyperlink" Target="http://www.westlaw.com/Link/Document/FullText?findType=L&amp;pubNum=1000547&amp;cite=21CFRS170.35&amp;originatingDoc=I17f4cfb149c011dba16d88fb847e95e5&amp;refType=LQ&amp;originationContext=document&amp;vr=3.0&amp;rs=cblt1.0&amp;transitionType=DocumentItem&amp;contextData=(sc.Search)" TargetMode="External"/><Relationship Id="rId40" Type="http://schemas.openxmlformats.org/officeDocument/2006/relationships/hyperlink" Target="http://www.westlaw.com/Link/Document/FullText?findType=Y&amp;serNum=1958109280&amp;originatingDoc=I17f4cfb149c011dba16d88fb847e95e5&amp;refType=RP&amp;originationContext=document&amp;vr=3.0&amp;rs=cblt1.0&amp;transitionType=DocumentItem&amp;contextData=(sc.Search)" TargetMode="External"/><Relationship Id="rId45" Type="http://schemas.openxmlformats.org/officeDocument/2006/relationships/hyperlink" Target="http://www.westlaw.com/Link/Document/FullText?findType=Y&amp;serNum=1974110019&amp;pubNum=350&amp;originatingDoc=I17f4cfb149c011dba16d88fb847e95e5&amp;refType=RP&amp;originationContext=document&amp;vr=3.0&amp;rs=cblt1.0&amp;transitionType=DocumentItem&amp;contextData=(sc.Search)" TargetMode="External"/><Relationship Id="rId53" Type="http://schemas.openxmlformats.org/officeDocument/2006/relationships/hyperlink" Target="http://www.westlaw.com/Link/Document/FullText?findType=Y&amp;serNum=1969118104&amp;pubNum=350&amp;originatingDoc=I17f4cfb149c011dba16d88fb847e95e5&amp;refType=RP&amp;originationContext=document&amp;vr=3.0&amp;rs=cblt1.0&amp;transitionType=DocumentItem&amp;contextData=(sc.Search)" TargetMode="External"/><Relationship Id="rId58" Type="http://schemas.openxmlformats.org/officeDocument/2006/relationships/hyperlink" Target="http://www.westlaw.com/Link/Document/FullText?findType=Y&amp;serNum=1976208358&amp;pubNum=350&amp;originatingDoc=I17f4cfb149c011dba16d88fb847e95e5&amp;refType=RP&amp;originationContext=document&amp;vr=3.0&amp;rs=cblt1.0&amp;transitionType=DocumentItem&amp;contextData=(sc.Search)" TargetMode="External"/><Relationship Id="rId66" Type="http://schemas.openxmlformats.org/officeDocument/2006/relationships/hyperlink" Target="http://www.westlaw.com/Link/Document/FullText?findType=Y&amp;serNum=1968115580&amp;pubNum=345&amp;originatingDoc=I17f4cfb149c011dba16d88fb847e95e5&amp;refType=RP&amp;fi=co_pp_sp_345_1311&amp;originationContext=document&amp;vr=3.0&amp;rs=cblt1.0&amp;transitionType=DocumentItem&amp;contextData=(sc.Search)" TargetMode="External"/><Relationship Id="rId74" Type="http://schemas.openxmlformats.org/officeDocument/2006/relationships/hyperlink" Target="http://www.westlaw.com/Link/Document/FullText?findType=Y&amp;serNum=1977126940&amp;pubNum=345&amp;originatingDoc=I17f4cfb149c011dba16d88fb847e95e5&amp;refType=RP&amp;fi=co_pp_sp_345_110&amp;originationContext=document&amp;vr=3.0&amp;rs=cblt1.0&amp;transitionType=DocumentItem&amp;contextData=(sc.Search)" TargetMode="External"/><Relationship Id="rId79" Type="http://schemas.openxmlformats.org/officeDocument/2006/relationships/hyperlink" Target="http://www.westlaw.com/Link/Document/FullText?findType=Y&amp;serNum=1973126430&amp;pubNum=780&amp;originatingDoc=I17f4cfb149c011dba16d88fb847e95e5&amp;refType=RP&amp;fi=co_pp_sp_780_652&amp;originationContext=document&amp;vr=3.0&amp;rs=cblt1.0&amp;transitionType=DocumentItem&amp;contextData=(sc.Search)" TargetMode="External"/><Relationship Id="rId87" Type="http://schemas.openxmlformats.org/officeDocument/2006/relationships/hyperlink" Target="http://www.westlaw.com/Link/Document/FullText?findType=Y&amp;serNum=1986102064&amp;pubNum=345&amp;originatingDoc=I17f4cfb149c011dba16d88fb847e95e5&amp;refType=RP&amp;fi=co_pp_sp_345_783&amp;originationContext=document&amp;vr=3.0&amp;rs=cblt1.0&amp;transitionType=DocumentItem&amp;contextData=(sc.Search)" TargetMode="External"/><Relationship Id="rId102" Type="http://schemas.openxmlformats.org/officeDocument/2006/relationships/hyperlink" Target="http://www.westlaw.com/Link/Document/FullText?findType=L&amp;pubNum=1000547&amp;cite=21CFRS170.30&amp;originatingDoc=I17f4cfb149c011dba16d88fb847e95e5&amp;refType=RB&amp;originationContext=document&amp;vr=3.0&amp;rs=cblt1.0&amp;transitionType=DocumentItem&amp;contextData=(sc.Search)" TargetMode="External"/><Relationship Id="rId5" Type="http://schemas.openxmlformats.org/officeDocument/2006/relationships/endnotes" Target="endnotes.xml"/><Relationship Id="rId61" Type="http://schemas.openxmlformats.org/officeDocument/2006/relationships/hyperlink" Target="http://www.westlaw.com/Link/Document/FullText?findType=Y&amp;serNum=1972107731&amp;pubNum=345&amp;originatingDoc=I17f4cfb149c011dba16d88fb847e95e5&amp;refType=RP&amp;originationContext=document&amp;vr=3.0&amp;rs=cblt1.0&amp;transitionType=DocumentItem&amp;contextData=(sc.Search)" TargetMode="External"/><Relationship Id="rId82" Type="http://schemas.openxmlformats.org/officeDocument/2006/relationships/hyperlink" Target="http://www.westlaw.com/Link/Document/FullText?findType=Y&amp;serNum=1978103711&amp;pubNum=345&amp;originatingDoc=I17f4cfb149c011dba16d88fb847e95e5&amp;refType=RP&amp;fi=co_pp_sp_345_1242&amp;originationContext=document&amp;vr=3.0&amp;rs=cblt1.0&amp;transitionType=DocumentItem&amp;contextData=(sc.Search)" TargetMode="External"/><Relationship Id="rId90" Type="http://schemas.openxmlformats.org/officeDocument/2006/relationships/hyperlink" Target="http://www.westlaw.com/Link/Document/FullText?findType=Y&amp;pubNum=1037&amp;cite=39FR34195&amp;originatingDoc=I17f4cfb149c011dba16d88fb847e95e5&amp;refType=NA&amp;originationContext=document&amp;vr=3.0&amp;rs=cblt1.0&amp;transitionType=DocumentItem&amp;contextData=(sc.Search)" TargetMode="External"/><Relationship Id="rId95" Type="http://schemas.openxmlformats.org/officeDocument/2006/relationships/hyperlink" Target="http://www.westlaw.com/Link/Document/FullText?findType=Y&amp;pubNum=1037&amp;cite=39FR34195&amp;originatingDoc=I17f4cfb149c011dba16d88fb847e95e5&amp;refType=NA&amp;originationContext=document&amp;vr=3.0&amp;rs=cblt1.0&amp;transitionType=DocumentItem&amp;contextData=(sc.Search)" TargetMode="External"/><Relationship Id="rId19" Type="http://schemas.openxmlformats.org/officeDocument/2006/relationships/hyperlink" Target="http://www.westlaw.com/Link/Document/FullText?findType=Y&amp;pubNum=1037&amp;cite=23FR9512&amp;originatingDoc=I17f4cfb149c011dba16d88fb847e95e5&amp;refType=NA&amp;originationContext=document&amp;vr=3.0&amp;rs=cblt1.0&amp;transitionType=DocumentItem&amp;contextData=(sc.Search)" TargetMode="External"/><Relationship Id="rId14" Type="http://schemas.openxmlformats.org/officeDocument/2006/relationships/hyperlink" Target="http://www.westlaw.com/Link/Document/FullText?findType=L&amp;pubNum=1000546&amp;cite=21USCAS342&amp;originatingDoc=I17f4cfb149c011dba16d88fb847e95e5&amp;refType=LQ&amp;originationContext=document&amp;vr=3.0&amp;rs=cblt1.0&amp;transitionType=DocumentItem&amp;contextData=(sc.Search)" TargetMode="External"/><Relationship Id="rId22" Type="http://schemas.openxmlformats.org/officeDocument/2006/relationships/hyperlink" Target="http://www.westlaw.com/Link/Document/FullText?findType=Y&amp;serNum=0306926681&amp;pubNum=0001037&amp;originatingDoc=I17f4cfb149c011dba16d88fb847e95e5&amp;refType=FR&amp;originationContext=document&amp;vr=3.0&amp;rs=cblt1.0&amp;transitionType=DocumentItem&amp;contextData=(sc.Search)" TargetMode="External"/><Relationship Id="rId27" Type="http://schemas.openxmlformats.org/officeDocument/2006/relationships/hyperlink" Target="http://www.westlaw.com/Link/Document/FullText?findType=Y&amp;pubNum=0001037&amp;cite=35FR18623&amp;originatingDoc=I17f4cfb149c011dba16d88fb847e95e5&amp;refType=FR&amp;originationContext=document&amp;vr=3.0&amp;rs=cblt1.0&amp;transitionType=DocumentItem&amp;contextData=(sc.Search)" TargetMode="External"/><Relationship Id="rId30" Type="http://schemas.openxmlformats.org/officeDocument/2006/relationships/hyperlink" Target="http://www.westlaw.com/Link/Document/FullText?findType=Y&amp;serNum=0306785318&amp;pubNum=0001037&amp;originatingDoc=I17f4cfb149c011dba16d88fb847e95e5&amp;refType=FR&amp;originationContext=document&amp;vr=3.0&amp;rs=cblt1.0&amp;transitionType=DocumentItem&amp;contextData=(sc.Search)" TargetMode="External"/><Relationship Id="rId35" Type="http://schemas.openxmlformats.org/officeDocument/2006/relationships/hyperlink" Target="http://www.westlaw.com/Link/Document/FullText?findType=L&amp;pubNum=1000547&amp;cite=21CFRS170.35&amp;originatingDoc=I17f4cfb149c011dba16d88fb847e95e5&amp;refType=LQ&amp;originationContext=document&amp;vr=3.0&amp;rs=cblt1.0&amp;transitionType=DocumentItem&amp;contextData=(sc.Search)" TargetMode="External"/><Relationship Id="rId43" Type="http://schemas.openxmlformats.org/officeDocument/2006/relationships/hyperlink" Target="http://www.westlaw.com/Link/Document/FullText?findType=Y&amp;serNum=1975111445&amp;pubNum=350&amp;originatingDoc=I17f4cfb149c011dba16d88fb847e95e5&amp;refType=RP&amp;originationContext=document&amp;vr=3.0&amp;rs=cblt1.0&amp;transitionType=DocumentItem&amp;contextData=(sc.Search)" TargetMode="External"/><Relationship Id="rId48" Type="http://schemas.openxmlformats.org/officeDocument/2006/relationships/hyperlink" Target="http://www.westlaw.com/Link/Document/FullText?findType=Y&amp;serNum=1970119868&amp;pubNum=350&amp;originatingDoc=I17f4cfb149c011dba16d88fb847e95e5&amp;refType=RP&amp;originationContext=document&amp;vr=3.0&amp;rs=cblt1.0&amp;transitionType=DocumentItem&amp;contextData=(sc.Search)" TargetMode="External"/><Relationship Id="rId56" Type="http://schemas.openxmlformats.org/officeDocument/2006/relationships/hyperlink" Target="http://www.westlaw.com/Link/Document/FullText?findType=Y&amp;serNum=1977198479&amp;pubNum=345&amp;originatingDoc=I17f4cfb149c011dba16d88fb847e95e5&amp;refType=RP&amp;originationContext=document&amp;vr=3.0&amp;rs=cblt1.0&amp;transitionType=DocumentItem&amp;contextData=(sc.Search)" TargetMode="External"/><Relationship Id="rId64" Type="http://schemas.openxmlformats.org/officeDocument/2006/relationships/hyperlink" Target="http://www.westlaw.com/Link/Document/FullText?findType=Y&amp;serNum=1974105289&amp;pubNum=345&amp;originatingDoc=I17f4cfb149c011dba16d88fb847e95e5&amp;refType=RP&amp;originationContext=document&amp;vr=3.0&amp;rs=cblt1.0&amp;transitionType=DocumentItem&amp;contextData=(sc.Search)" TargetMode="External"/><Relationship Id="rId69" Type="http://schemas.openxmlformats.org/officeDocument/2006/relationships/hyperlink" Target="http://www.westlaw.com/Link/Document/FullText?findType=Y&amp;serNum=1984107300&amp;pubNum=350&amp;originatingDoc=I17f4cfb149c011dba16d88fb847e95e5&amp;refType=RP&amp;fi=co_pp_sp_350_990&amp;originationContext=document&amp;vr=3.0&amp;rs=cblt1.0&amp;transitionType=DocumentItem&amp;contextData=(sc.Search)" TargetMode="External"/><Relationship Id="rId77" Type="http://schemas.openxmlformats.org/officeDocument/2006/relationships/hyperlink" Target="http://www.westlaw.com/Link/Document/FullText?findType=Y&amp;serNum=1987098252&amp;pubNum=350&amp;originatingDoc=I17f4cfb149c011dba16d88fb847e95e5&amp;refType=RP&amp;originationContext=document&amp;vr=3.0&amp;rs=cblt1.0&amp;transitionType=DocumentItem&amp;contextData=(sc.Search)" TargetMode="External"/><Relationship Id="rId100" Type="http://schemas.openxmlformats.org/officeDocument/2006/relationships/hyperlink" Target="http://www.westlaw.com/Link/Document/FullText?findType=Y&amp;serNum=0101626549&amp;originatingDoc=I17f4cfb149c011dba16d88fb847e95e5&amp;refType=FR&amp;originationContext=document&amp;vr=3.0&amp;rs=cblt1.0&amp;transitionType=DocumentItem&amp;contextData=(sc.Search)" TargetMode="External"/><Relationship Id="rId8" Type="http://schemas.openxmlformats.org/officeDocument/2006/relationships/hyperlink" Target="http://www.westlaw.com/Link/Document/FullText?findType=h&amp;pubNum=176284&amp;cite=0137621001&amp;originatingDoc=I17f4cfb149c011dba16d88fb847e95e5&amp;refType=RQ&amp;originationContext=document&amp;vr=3.0&amp;rs=cblt1.0&amp;transitionType=DocumentItem&amp;contextData=(sc.Search)" TargetMode="External"/><Relationship Id="rId51" Type="http://schemas.openxmlformats.org/officeDocument/2006/relationships/hyperlink" Target="http://www.westlaw.com/Link/Document/FullText?findType=Y&amp;serNum=1969120002&amp;pubNum=350&amp;originatingDoc=I17f4cfb149c011dba16d88fb847e95e5&amp;refType=RP&amp;originationContext=document&amp;vr=3.0&amp;rs=cblt1.0&amp;transitionType=DocumentItem&amp;contextData=(sc.Search)" TargetMode="External"/><Relationship Id="rId72" Type="http://schemas.openxmlformats.org/officeDocument/2006/relationships/hyperlink" Target="http://www.westlaw.com/Link/Document/FullText?findType=Y&amp;serNum=1980137107&amp;pubNum=345&amp;originatingDoc=I17f4cfb149c011dba16d88fb847e95e5&amp;refType=RP&amp;fi=co_pp_sp_345_431&amp;originationContext=document&amp;vr=3.0&amp;rs=cblt1.0&amp;transitionType=DocumentItem&amp;contextData=(sc.Search)" TargetMode="External"/><Relationship Id="rId80" Type="http://schemas.openxmlformats.org/officeDocument/2006/relationships/hyperlink" Target="http://www.westlaw.com/Link/Document/FullText?findType=Y&amp;serNum=1972112900&amp;pubNum=350&amp;originatingDoc=I17f4cfb149c011dba16d88fb847e95e5&amp;refType=RP&amp;fi=co_pp_sp_350_880&amp;originationContext=document&amp;vr=3.0&amp;rs=cblt1.0&amp;transitionType=DocumentItem&amp;contextData=(sc.Search)" TargetMode="External"/><Relationship Id="rId85" Type="http://schemas.openxmlformats.org/officeDocument/2006/relationships/hyperlink" Target="http://www.westlaw.com/Link/Document/FullText?findType=Y&amp;serNum=1980118304&amp;pubNum=350&amp;originatingDoc=I17f4cfb149c011dba16d88fb847e95e5&amp;refType=RP&amp;fi=co_pp_sp_350_773&amp;originationContext=document&amp;vr=3.0&amp;rs=cblt1.0&amp;transitionType=DocumentItem&amp;contextData=(sc.Search)" TargetMode="External"/><Relationship Id="rId93" Type="http://schemas.openxmlformats.org/officeDocument/2006/relationships/hyperlink" Target="http://www.westlaw.com/Link/Document/FullText?findType=Y&amp;serNum=0102040091&amp;pubNum=1037&amp;originatingDoc=I17f4cfb149c011dba16d88fb847e95e5&amp;refType=FR&amp;fi=co_pp_sp_1037_48457&amp;originationContext=document&amp;vr=3.0&amp;rs=cblt1.0&amp;transitionType=DocumentItem&amp;contextData=(sc.Search)" TargetMode="External"/><Relationship Id="rId98" Type="http://schemas.openxmlformats.org/officeDocument/2006/relationships/hyperlink" Target="http://www.westlaw.com/Link/Document/FullText?findType=Y&amp;serNum=1983142198&amp;originatingDoc=I17f4cfb149c011dba16d88fb847e95e5&amp;refType=RP&amp;originationContext=document&amp;vr=3.0&amp;rs=cblt1.0&amp;transitionType=DocumentItem&amp;contextData=(sc.Search)" TargetMode="External"/><Relationship Id="rId3" Type="http://schemas.openxmlformats.org/officeDocument/2006/relationships/webSettings" Target="webSettings.xml"/><Relationship Id="rId12" Type="http://schemas.openxmlformats.org/officeDocument/2006/relationships/hyperlink" Target="http://www.westlaw.com/Link/Document/FullText?findType=L&amp;pubNum=1000546&amp;cite=21USCAS301&amp;originatingDoc=I17f4cfb149c011dba16d88fb847e95e5&amp;refType=LQ&amp;originationContext=document&amp;vr=3.0&amp;rs=cblt1.0&amp;transitionType=DocumentItem&amp;contextData=(sc.Search)" TargetMode="External"/><Relationship Id="rId17" Type="http://schemas.openxmlformats.org/officeDocument/2006/relationships/hyperlink" Target="http://www.westlaw.com/Link/Document/FullText?findType=Y&amp;pubNum=0001037&amp;cite=39FR34186&amp;originatingDoc=I17f4cfb149c011dba16d88fb847e95e5&amp;refType=FR&amp;originationContext=document&amp;vr=3.0&amp;rs=cblt1.0&amp;transitionType=DocumentItem&amp;contextData=(sc.Search)" TargetMode="External"/><Relationship Id="rId25" Type="http://schemas.openxmlformats.org/officeDocument/2006/relationships/hyperlink" Target="http://www.westlaw.com/Link/Document/FullText?findType=Y&amp;pubNum=1037&amp;cite=23FR9516&amp;originatingDoc=I17f4cfb149c011dba16d88fb847e95e5&amp;refType=NA&amp;originationContext=document&amp;vr=3.0&amp;rs=cblt1.0&amp;transitionType=DocumentItem&amp;contextData=(sc.Search)" TargetMode="External"/><Relationship Id="rId33" Type="http://schemas.openxmlformats.org/officeDocument/2006/relationships/hyperlink" Target="http://www.westlaw.com/Link/Document/FullText?findType=Y&amp;serNum=0306689543&amp;pubNum=0001037&amp;originatingDoc=I17f4cfb149c011dba16d88fb847e95e5&amp;refType=FR&amp;originationContext=document&amp;vr=3.0&amp;rs=cblt1.0&amp;transitionType=DocumentItem&amp;contextData=(sc.Search)" TargetMode="External"/><Relationship Id="rId38" Type="http://schemas.openxmlformats.org/officeDocument/2006/relationships/hyperlink" Target="http://www.westlaw.com/Link/Document/FullText?findType=L&amp;pubNum=1000547&amp;cite=21CFRS170.35&amp;originatingDoc=I17f4cfb149c011dba16d88fb847e95e5&amp;refType=RB&amp;originationContext=document&amp;vr=3.0&amp;rs=cblt1.0&amp;transitionType=DocumentItem&amp;contextData=(sc.Search)" TargetMode="External"/><Relationship Id="rId46" Type="http://schemas.openxmlformats.org/officeDocument/2006/relationships/hyperlink" Target="http://www.westlaw.com/Link/Document/FullText?findType=Y&amp;serNum=1972112900&amp;pubNum=350&amp;originatingDoc=I17f4cfb149c011dba16d88fb847e95e5&amp;refType=RP&amp;originationContext=document&amp;vr=3.0&amp;rs=cblt1.0&amp;transitionType=DocumentItem&amp;contextData=(sc.Search)" TargetMode="External"/><Relationship Id="rId59" Type="http://schemas.openxmlformats.org/officeDocument/2006/relationships/hyperlink" Target="http://www.westlaw.com/Link/Document/FullText?findType=Y&amp;serNum=1975141441&amp;pubNum=345&amp;originatingDoc=I17f4cfb149c011dba16d88fb847e95e5&amp;refType=RP&amp;originationContext=document&amp;vr=3.0&amp;rs=cblt1.0&amp;transitionType=DocumentItem&amp;contextData=(sc.Search)" TargetMode="External"/><Relationship Id="rId67" Type="http://schemas.openxmlformats.org/officeDocument/2006/relationships/hyperlink" Target="http://www.westlaw.com/Link/Document/FullText?findType=Y&amp;serNum=1974105289&amp;pubNum=345&amp;originatingDoc=I17f4cfb149c011dba16d88fb847e95e5&amp;refType=RP&amp;fi=co_pp_sp_345_920&amp;originationContext=document&amp;vr=3.0&amp;rs=cblt1.0&amp;transitionType=DocumentItem&amp;contextData=(sc.Search)" TargetMode="External"/><Relationship Id="rId103" Type="http://schemas.openxmlformats.org/officeDocument/2006/relationships/fontTable" Target="fontTable.xml"/><Relationship Id="rId20" Type="http://schemas.openxmlformats.org/officeDocument/2006/relationships/hyperlink" Target="http://www.westlaw.com/Link/Document/FullText?findType=Y&amp;pubNum=0001037&amp;cite=23FR9511&amp;originatingDoc=I17f4cfb149c011dba16d88fb847e95e5&amp;refType=FR&amp;fi=co_pp_sp_1037_9512&amp;originationContext=document&amp;vr=3.0&amp;rs=cblt1.0&amp;transitionType=DocumentItem&amp;contextData=(sc.Search)" TargetMode="External"/><Relationship Id="rId41" Type="http://schemas.openxmlformats.org/officeDocument/2006/relationships/hyperlink" Target="http://www.westlaw.com/Link/Document/FullText?findType=Y&amp;serNum=1960109493&amp;pubNum=345&amp;originatingDoc=I17f4cfb149c011dba16d88fb847e95e5&amp;refType=RP&amp;originationContext=document&amp;vr=3.0&amp;rs=cblt1.0&amp;transitionType=DocumentItem&amp;contextData=(sc.Search)" TargetMode="External"/><Relationship Id="rId54" Type="http://schemas.openxmlformats.org/officeDocument/2006/relationships/hyperlink" Target="http://www.westlaw.com/Link/Document/FullText?findType=Y&amp;serNum=1978103858&amp;pubNum=345&amp;originatingDoc=I17f4cfb149c011dba16d88fb847e95e5&amp;refType=RP&amp;originationContext=document&amp;vr=3.0&amp;rs=cblt1.0&amp;transitionType=DocumentItem&amp;contextData=(sc.Search)" TargetMode="External"/><Relationship Id="rId62" Type="http://schemas.openxmlformats.org/officeDocument/2006/relationships/hyperlink" Target="http://www.westlaw.com/Link/Document/FullText?findType=Y&amp;serNum=1972105681&amp;pubNum=345&amp;originatingDoc=I17f4cfb149c011dba16d88fb847e95e5&amp;refType=RP&amp;originationContext=document&amp;vr=3.0&amp;rs=cblt1.0&amp;transitionType=DocumentItem&amp;contextData=(sc.Search)" TargetMode="External"/><Relationship Id="rId70" Type="http://schemas.openxmlformats.org/officeDocument/2006/relationships/hyperlink" Target="http://www.westlaw.com/Link/Document/FullText?findType=Y&amp;serNum=1982116559&amp;pubNum=350&amp;originatingDoc=I17f4cfb149c011dba16d88fb847e95e5&amp;refType=RP&amp;fi=co_pp_sp_350_1001&amp;originationContext=document&amp;vr=3.0&amp;rs=cblt1.0&amp;transitionType=DocumentItem&amp;contextData=(sc.Search)" TargetMode="External"/><Relationship Id="rId75" Type="http://schemas.openxmlformats.org/officeDocument/2006/relationships/hyperlink" Target="http://www.westlaw.com/Link/Document/FullText?findType=Y&amp;serNum=1979113999&amp;pubNum=350&amp;originatingDoc=I17f4cfb149c011dba16d88fb847e95e5&amp;refType=RP&amp;originationContext=document&amp;vr=3.0&amp;rs=cblt1.0&amp;transitionType=DocumentItem&amp;contextData=(sc.Search)" TargetMode="External"/><Relationship Id="rId83" Type="http://schemas.openxmlformats.org/officeDocument/2006/relationships/hyperlink" Target="http://www.westlaw.com/Link/Document/FullText?findType=Y&amp;serNum=1979213899&amp;pubNum=350&amp;originatingDoc=I17f4cfb149c011dba16d88fb847e95e5&amp;refType=RP&amp;originationContext=document&amp;vr=3.0&amp;rs=cblt1.0&amp;transitionType=DocumentItem&amp;contextData=(sc.Search)" TargetMode="External"/><Relationship Id="rId88" Type="http://schemas.openxmlformats.org/officeDocument/2006/relationships/hyperlink" Target="http://www.westlaw.com/Link/Document/FullText?findType=Y&amp;serNum=1973126429&amp;pubNum=780&amp;originatingDoc=I17f4cfb149c011dba16d88fb847e95e5&amp;refType=RP&amp;fi=co_pp_sp_780_632&amp;originationContext=document&amp;vr=3.0&amp;rs=cblt1.0&amp;transitionType=DocumentItem&amp;contextData=(sc.Search)" TargetMode="External"/><Relationship Id="rId91" Type="http://schemas.openxmlformats.org/officeDocument/2006/relationships/hyperlink" Target="http://www.westlaw.com/Link/Document/FullText?findType=L&amp;pubNum=1000547&amp;cite=21CFRS170.30&amp;originatingDoc=I17f4cfb149c011dba16d88fb847e95e5&amp;refType=LQ&amp;originationContext=document&amp;vr=3.0&amp;rs=cblt1.0&amp;transitionType=DocumentItem&amp;contextData=(sc.Search)" TargetMode="External"/><Relationship Id="rId96" Type="http://schemas.openxmlformats.org/officeDocument/2006/relationships/hyperlink" Target="http://www.westlaw.com/Link/Document/FullText?findType=Y&amp;serNum=0306689543&amp;pubNum=0001037&amp;originatingDoc=I17f4cfb149c011dba16d88fb847e95e5&amp;refType=FR&amp;originationContext=document&amp;vr=3.0&amp;rs=cblt1.0&amp;transitionType=DocumentItem&amp;contextData=(sc.Search)" TargetMode="Externa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www.westlaw.com/Link/Document/FullText?findType=L&amp;pubNum=1000546&amp;cite=21USCAS451&amp;originatingDoc=I17f4cfb149c011dba16d88fb847e95e5&amp;refType=LQ&amp;originationContext=document&amp;vr=3.0&amp;rs=cblt1.0&amp;transitionType=DocumentItem&amp;contextData=(sc.Search)" TargetMode="External"/><Relationship Id="rId23" Type="http://schemas.openxmlformats.org/officeDocument/2006/relationships/hyperlink" Target="http://www.westlaw.com/Link/Document/FullText?findType=Y&amp;pubNum=0001037&amp;cite=24FR9368&amp;originatingDoc=I17f4cfb149c011dba16d88fb847e95e5&amp;refType=FR&amp;originationContext=document&amp;vr=3.0&amp;rs=cblt1.0&amp;transitionType=DocumentItem&amp;contextData=(sc.Search)" TargetMode="External"/><Relationship Id="rId28" Type="http://schemas.openxmlformats.org/officeDocument/2006/relationships/hyperlink" Target="http://www.westlaw.com/Link/Document/FullText?findType=Y&amp;pubNum=0001037&amp;cite=36FR12093&amp;originatingDoc=I17f4cfb149c011dba16d88fb847e95e5&amp;refType=FR&amp;originationContext=document&amp;vr=3.0&amp;rs=cblt1.0&amp;transitionType=DocumentItem&amp;contextData=(sc.Search)" TargetMode="External"/><Relationship Id="rId36" Type="http://schemas.openxmlformats.org/officeDocument/2006/relationships/hyperlink" Target="http://www.westlaw.com/Link/Document/FullText?findType=L&amp;pubNum=1000547&amp;cite=21CFRS170.38&amp;originatingDoc=I17f4cfb149c011dba16d88fb847e95e5&amp;refType=LQ&amp;originationContext=document&amp;vr=3.0&amp;rs=cblt1.0&amp;transitionType=DocumentItem&amp;contextData=(sc.Search)" TargetMode="External"/><Relationship Id="rId49" Type="http://schemas.openxmlformats.org/officeDocument/2006/relationships/hyperlink" Target="http://www.westlaw.com/Link/Document/FullText?findType=Y&amp;serNum=1968115255&amp;pubNum=345&amp;originatingDoc=I17f4cfb149c011dba16d88fb847e95e5&amp;refType=RP&amp;originationContext=document&amp;vr=3.0&amp;rs=cblt1.0&amp;transitionType=DocumentItem&amp;contextData=(sc.Search)" TargetMode="External"/><Relationship Id="rId57" Type="http://schemas.openxmlformats.org/officeDocument/2006/relationships/hyperlink" Target="http://www.westlaw.com/Link/Document/FullText?findType=Y&amp;serNum=1976126568&amp;pubNum=345&amp;originatingDoc=I17f4cfb149c011dba16d88fb847e95e5&amp;refType=RP&amp;originationContext=document&amp;vr=3.0&amp;rs=cblt1.0&amp;transitionType=DocumentItem&amp;contextData=(sc.Search)" TargetMode="External"/><Relationship Id="rId10" Type="http://schemas.openxmlformats.org/officeDocument/2006/relationships/hyperlink" Target="http://www.westlaw.com/Link/Document/FullText?findType=L&amp;pubNum=1000546&amp;cite=21USCAS348&amp;originatingDoc=I17f4cfb149c011dba16d88fb847e95e5&amp;refType=LQ&amp;originationContext=document&amp;vr=3.0&amp;rs=cblt1.0&amp;transitionType=DocumentItem&amp;contextData=(sc.Search)" TargetMode="External"/><Relationship Id="rId31" Type="http://schemas.openxmlformats.org/officeDocument/2006/relationships/hyperlink" Target="http://www.westlaw.com/Link/Document/FullText?findType=Y&amp;serNum=1973126429&amp;pubNum=780&amp;originatingDoc=I17f4cfb149c011dba16d88fb847e95e5&amp;refType=RP&amp;originationContext=document&amp;vr=3.0&amp;rs=cblt1.0&amp;transitionType=DocumentItem&amp;contextData=(sc.Search)" TargetMode="External"/><Relationship Id="rId44" Type="http://schemas.openxmlformats.org/officeDocument/2006/relationships/hyperlink" Target="http://www.westlaw.com/Link/Document/FullText?findType=Y&amp;serNum=1975110395&amp;pubNum=350&amp;originatingDoc=I17f4cfb149c011dba16d88fb847e95e5&amp;refType=RP&amp;originationContext=document&amp;vr=3.0&amp;rs=cblt1.0&amp;transitionType=DocumentItem&amp;contextData=(sc.Search)" TargetMode="External"/><Relationship Id="rId52" Type="http://schemas.openxmlformats.org/officeDocument/2006/relationships/hyperlink" Target="http://www.westlaw.com/Link/Document/FullText?findType=Y&amp;serNum=1969118303&amp;pubNum=350&amp;originatingDoc=I17f4cfb149c011dba16d88fb847e95e5&amp;refType=RP&amp;originationContext=document&amp;vr=3.0&amp;rs=cblt1.0&amp;transitionType=DocumentItem&amp;contextData=(sc.Search)" TargetMode="External"/><Relationship Id="rId60" Type="http://schemas.openxmlformats.org/officeDocument/2006/relationships/hyperlink" Target="http://www.westlaw.com/Link/Document/FullText?findType=Y&amp;serNum=1974105665&amp;pubNum=345&amp;originatingDoc=I17f4cfb149c011dba16d88fb847e95e5&amp;refType=RP&amp;originationContext=document&amp;vr=3.0&amp;rs=cblt1.0&amp;transitionType=DocumentItem&amp;contextData=(sc.Search)" TargetMode="External"/><Relationship Id="rId65" Type="http://schemas.openxmlformats.org/officeDocument/2006/relationships/hyperlink" Target="http://www.westlaw.com/Link/Document/FullText?findType=Y&amp;serNum=1975111445&amp;pubNum=350&amp;originatingDoc=I17f4cfb149c011dba16d88fb847e95e5&amp;refType=RP&amp;originationContext=document&amp;vr=3.0&amp;rs=cblt1.0&amp;transitionType=DocumentItem&amp;contextData=(sc.Search)" TargetMode="External"/><Relationship Id="rId73" Type="http://schemas.openxmlformats.org/officeDocument/2006/relationships/hyperlink" Target="http://www.westlaw.com/Link/Document/FullText?findType=Y&amp;serNum=1982202255&amp;pubNum=350&amp;originatingDoc=I17f4cfb149c011dba16d88fb847e95e5&amp;refType=RP&amp;originationContext=document&amp;vr=3.0&amp;rs=cblt1.0&amp;transitionType=DocumentItem&amp;contextData=(sc.Search)" TargetMode="External"/><Relationship Id="rId78" Type="http://schemas.openxmlformats.org/officeDocument/2006/relationships/hyperlink" Target="http://www.westlaw.com/Link/Document/FullText?findType=Y&amp;serNum=1973126429&amp;pubNum=780&amp;originatingDoc=I17f4cfb149c011dba16d88fb847e95e5&amp;refType=RP&amp;fi=co_pp_sp_780_609&amp;originationContext=document&amp;vr=3.0&amp;rs=cblt1.0&amp;transitionType=DocumentItem&amp;contextData=(sc.Search)" TargetMode="External"/><Relationship Id="rId81" Type="http://schemas.openxmlformats.org/officeDocument/2006/relationships/hyperlink" Target="http://www.westlaw.com/Link/Document/FullText?findType=Y&amp;serNum=1973245798&amp;pubNum=780&amp;originatingDoc=I17f4cfb149c011dba16d88fb847e95e5&amp;refType=RP&amp;originationContext=document&amp;vr=3.0&amp;rs=cblt1.0&amp;transitionType=DocumentItem&amp;contextData=(sc.Search)" TargetMode="External"/><Relationship Id="rId86" Type="http://schemas.openxmlformats.org/officeDocument/2006/relationships/hyperlink" Target="http://www.westlaw.com/Link/Document/FullText?findType=Y&amp;serNum=1986102064&amp;pubNum=345&amp;originatingDoc=I17f4cfb149c011dba16d88fb847e95e5&amp;refType=RP&amp;fi=co_pp_sp_345_783&amp;originationContext=document&amp;vr=3.0&amp;rs=cblt1.0&amp;transitionType=DocumentItem&amp;contextData=(sc.Search)" TargetMode="External"/><Relationship Id="rId94" Type="http://schemas.openxmlformats.org/officeDocument/2006/relationships/hyperlink" Target="http://www.westlaw.com/Link/Document/FullText?findType=Y&amp;serNum=0102040091&amp;originatingDoc=I17f4cfb149c011dba16d88fb847e95e5&amp;refType=FR&amp;originationContext=document&amp;vr=3.0&amp;rs=cblt1.0&amp;transitionType=DocumentItem&amp;contextData=(sc.Search)" TargetMode="External"/><Relationship Id="rId99" Type="http://schemas.openxmlformats.org/officeDocument/2006/relationships/hyperlink" Target="http://www.westlaw.com/Link/Document/FullText?findType=Y&amp;serNum=0101626549&amp;pubNum=1037&amp;originatingDoc=I17f4cfb149c011dba16d88fb847e95e5&amp;refType=FR&amp;fi=co_pp_sp_1037_27294&amp;originationContext=document&amp;vr=3.0&amp;rs=cblt1.0&amp;transitionType=DocumentItem&amp;contextData=(sc.Search)" TargetMode="External"/><Relationship Id="rId101" Type="http://schemas.openxmlformats.org/officeDocument/2006/relationships/hyperlink" Target="http://www.westlaw.com/Link/Document/FullText?findType=Y&amp;serNum=0101210662&amp;pubNum=1037&amp;originatingDoc=I17f4cfb149c011dba16d88fb847e95e5&amp;refType=FR&amp;fi=co_pp_sp_1037_16544&amp;originationContext=document&amp;vr=3.0&amp;rs=cblt1.0&amp;transitionType=DocumentItem&amp;contextData=(sc.Search)" TargetMode="External"/><Relationship Id="rId4" Type="http://schemas.openxmlformats.org/officeDocument/2006/relationships/footnotes" Target="footnotes.xml"/><Relationship Id="rId9" Type="http://schemas.openxmlformats.org/officeDocument/2006/relationships/hyperlink" Target="http://www.westlaw.com/Link/Document/FullText?findType=L&amp;pubNum=1000547&amp;cite=21CFRS170.3&amp;originatingDoc=I17f4cfb149c011dba16d88fb847e95e5&amp;refType=RB&amp;originationContext=document&amp;vr=3.0&amp;rs=cblt1.0&amp;transitionType=DocumentItem&amp;contextData=(sc.Search)" TargetMode="External"/><Relationship Id="rId13" Type="http://schemas.openxmlformats.org/officeDocument/2006/relationships/hyperlink" Target="http://www.westlaw.com/Link/Document/FullText?findType=L&amp;pubNum=1000546&amp;cite=21USCAS392&amp;originatingDoc=I17f4cfb149c011dba16d88fb847e95e5&amp;refType=LQ&amp;originationContext=document&amp;vr=3.0&amp;rs=cblt1.0&amp;transitionType=DocumentItem&amp;contextData=(sc.Search)" TargetMode="External"/><Relationship Id="rId18" Type="http://schemas.openxmlformats.org/officeDocument/2006/relationships/hyperlink" Target="http://www.westlaw.com/Link/Document/FullText?findType=Y&amp;serNum=0103316762&amp;pubNum=1037&amp;originatingDoc=I17f4cfb149c011dba16d88fb847e95e5&amp;refType=FR&amp;fi=co_pp_sp_1037_58456&amp;originationContext=document&amp;vr=3.0&amp;rs=cblt1.0&amp;transitionType=DocumentItem&amp;contextData=(sc.Search)" TargetMode="External"/><Relationship Id="rId39" Type="http://schemas.openxmlformats.org/officeDocument/2006/relationships/hyperlink" Target="http://www.westlaw.com/Link/Document/FullText?findType=Y&amp;serNum=1958109280&amp;pubNum=345&amp;originatingDoc=I17f4cfb149c011dba16d88fb847e95e5&amp;refType=RP&amp;originationContext=document&amp;vr=3.0&amp;rs=cblt1.0&amp;transitionType=DocumentItem&amp;contextData=(sc.Search)" TargetMode="External"/><Relationship Id="rId34" Type="http://schemas.openxmlformats.org/officeDocument/2006/relationships/hyperlink" Target="http://www.westlaw.com/Link/Document/FullText?findType=L&amp;pubNum=1000547&amp;cite=21CFRS170.30&amp;originatingDoc=I17f4cfb149c011dba16d88fb847e95e5&amp;refType=LQ&amp;originationContext=document&amp;vr=3.0&amp;rs=cblt1.0&amp;transitionType=DocumentItem&amp;contextData=(sc.Search)" TargetMode="External"/><Relationship Id="rId50" Type="http://schemas.openxmlformats.org/officeDocument/2006/relationships/hyperlink" Target="http://www.westlaw.com/Link/Document/FullText?findType=Y&amp;serNum=1970117796&amp;pubNum=350&amp;originatingDoc=I17f4cfb149c011dba16d88fb847e95e5&amp;refType=RP&amp;originationContext=document&amp;vr=3.0&amp;rs=cblt1.0&amp;transitionType=DocumentItem&amp;contextData=(sc.Search)" TargetMode="External"/><Relationship Id="rId55" Type="http://schemas.openxmlformats.org/officeDocument/2006/relationships/hyperlink" Target="http://www.westlaw.com/Link/Document/FullText?findType=Y&amp;serNum=1978103711&amp;pubNum=345&amp;originatingDoc=I17f4cfb149c011dba16d88fb847e95e5&amp;refType=RP&amp;originationContext=document&amp;vr=3.0&amp;rs=cblt1.0&amp;transitionType=DocumentItem&amp;contextData=(sc.Search)" TargetMode="External"/><Relationship Id="rId76" Type="http://schemas.openxmlformats.org/officeDocument/2006/relationships/hyperlink" Target="http://www.westlaw.com/Link/Document/FullText?findType=Y&amp;serNum=1986102064&amp;pubNum=345&amp;originatingDoc=I17f4cfb149c011dba16d88fb847e95e5&amp;refType=RP&amp;fi=co_pp_sp_345_781&amp;originationContext=document&amp;vr=3.0&amp;rs=cblt1.0&amp;transitionType=DocumentItem&amp;contextData=(sc.Search)" TargetMode="External"/><Relationship Id="rId97" Type="http://schemas.openxmlformats.org/officeDocument/2006/relationships/hyperlink" Target="http://www.westlaw.com/Link/Document/FullText?findType=Y&amp;serNum=1983142198&amp;pubNum=350&amp;originatingDoc=I17f4cfb149c011dba16d88fb847e95e5&amp;refType=RP&amp;originationContext=document&amp;vr=3.0&amp;rs=cblt1.0&amp;transitionType=DocumentItem&amp;contextData=(sc.Search)" TargetMode="Externa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18711</Words>
  <Characters>106656</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125117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 P</dc:creator>
  <cp:lastModifiedBy>Emil Wang</cp:lastModifiedBy>
  <cp:revision>2</cp:revision>
  <dcterms:created xsi:type="dcterms:W3CDTF">2016-04-24T20:58:00Z</dcterms:created>
  <dcterms:modified xsi:type="dcterms:W3CDTF">2016-04-24T20:58:00Z</dcterms:modified>
</cp:coreProperties>
</file>